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ADB" w:rsidRPr="00447ADB" w:rsidRDefault="00447ADB" w:rsidP="00447ADB">
      <w:pPr>
        <w:jc w:val="center"/>
        <w:rPr>
          <w:rFonts w:ascii="Times New Roman" w:hAnsi="Times New Roman" w:cs="Times New Roman"/>
          <w:sz w:val="22"/>
          <w:szCs w:val="22"/>
        </w:rPr>
      </w:pPr>
      <w:r w:rsidRPr="00447ADB">
        <w:rPr>
          <w:rFonts w:ascii="Times New Roman" w:hAnsi="Times New Roman" w:cs="Times New Roman"/>
          <w:sz w:val="22"/>
          <w:szCs w:val="22"/>
        </w:rPr>
        <w:t>PROPOSTA DI DELIBERAZIONE DI CONSIGLIO COMUNALE N. ____ DEL _______</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Pr>
          <w:rFonts w:ascii="Times New Roman" w:hAnsi="Times New Roman" w:cs="Times New Roman"/>
          <w:sz w:val="22"/>
          <w:szCs w:val="22"/>
        </w:rPr>
        <w:t xml:space="preserve">OGGETTO: </w:t>
      </w:r>
      <w:r w:rsidRPr="00447ADB">
        <w:rPr>
          <w:rFonts w:ascii="Times New Roman" w:hAnsi="Times New Roman" w:cs="Times New Roman"/>
          <w:sz w:val="22"/>
          <w:szCs w:val="22"/>
        </w:rPr>
        <w:t>SENTENZE DELLA CORTE COSTITUZIONALE N. 247/2017 E N. 101/2018. PIENO UTILIZZO DELL'AVANZO DI AMMINISTRAZIONE DERIVANTE DAL RENDICONTO DI GESTIONE. APPROVAZIONE ORDINE DEL GIORNO.</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xml:space="preserve"> </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center"/>
        <w:rPr>
          <w:rFonts w:ascii="Times New Roman" w:hAnsi="Times New Roman" w:cs="Times New Roman"/>
          <w:sz w:val="22"/>
          <w:szCs w:val="22"/>
        </w:rPr>
      </w:pPr>
      <w:r w:rsidRPr="00447ADB">
        <w:rPr>
          <w:rFonts w:ascii="Times New Roman" w:hAnsi="Times New Roman" w:cs="Times New Roman"/>
          <w:sz w:val="22"/>
          <w:szCs w:val="22"/>
        </w:rPr>
        <w:t>IL GRUPPO CONSILIARE _________________________</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PREMESSO che: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-Al fine di assicurare il rispetto del principio costituzionale del pareggio di bilancio, tutte le amministrazioni pubbliche devono perseguire l’equilibrio di bilancio tra entrate e spese e la sostenibilità del debito, nell’osservanza delle regole dell’Unione europea in materia economico finanziaria.</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Le regole attuali prevedono il conseguimento di un saldo non negativo, in termini di competenza, tra le entrate finali (ascrivibili ai titoli 1, 2, 3, 4 e 5 dello schema di bilancio previsto dal decreto legislativo 23 giugno 2011, n. 118) e le spese finali (ascrivibili ai titoli 1, 2, 3 del medesimo schema di bilancio) e che, per il triennio 2017-2019, nelle entrate e nelle spese finali in termini di competenza sia considerato il Fondo pluriennale vincolato, di entrata e di spesa, al netto della quota riveniente dal ricorso all’indebitamento.</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xml:space="preserve">-A decorrere dal 2020, tra le entrate e le spese finali è incluso il Fondo pluriennale vincolato di entrata e di spesa, finanziato dalle entrate finali. </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-Nelle poste utili, entrate meno uscite, non rientrano nelle entrate l’avanzo di amministrazione né le entrate da mutui, mentre nelle uscite rientrano le spese finanziate da tali entrate.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-L’avanzo di amministrazione risultante al 31 dicembre dell’anno precedente può pertanto essere applicato solo nella misura e nei limiti che consentano di rispettare l’equilibrio previsto, relativo al conseguimento del saldo non negativo; un eventuale utilizzo dell’avanzo per dare copertura finanziaria ad una maggiore spesa sopravvenuta, quale potrebbe essere ad esempio un debito fuori bilancio, deve scontrarsi con i limiti dal pareggio di bilancio, in quanto queste spese incideranno negativamente sul saldo che l’ente deve rispettare.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-La stessa casistica è prevista anche all’accensione dei mutui, che potrà avvenire sempre e solo nel rispetto dei saldi e limiti previsti.</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-Sono consentiti scostamenti temporanei del saldo dall’obiettivo programmatico solo in caso di eventi eccezionali quali, ad esempio, gravi recessioni economiche, crisi finanziarie e calamità naturali.</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PREMESSO, altresì, che: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xml:space="preserve">-La disciplina della materia è contenuta nella legge n. 243/2012, successivamente modificata dalla legge n. 164/2016, che reca disposizioni per l’attuazione del principio del pareggio di bilancio dell'art. 81 </w:t>
      </w:r>
      <w:proofErr w:type="spellStart"/>
      <w:r w:rsidRPr="00447ADB">
        <w:rPr>
          <w:rFonts w:ascii="Times New Roman" w:hAnsi="Times New Roman" w:cs="Times New Roman"/>
          <w:sz w:val="22"/>
          <w:szCs w:val="22"/>
        </w:rPr>
        <w:t>Cost</w:t>
      </w:r>
      <w:proofErr w:type="spellEnd"/>
      <w:r w:rsidRPr="00447ADB">
        <w:rPr>
          <w:rFonts w:ascii="Times New Roman" w:hAnsi="Times New Roman" w:cs="Times New Roman"/>
          <w:sz w:val="22"/>
          <w:szCs w:val="22"/>
        </w:rPr>
        <w:t>. Si tratta di legge "rinforzata", in quanto deve essere approvata a maggioranza assoluta dei componenti di ciascuna Camera, ma questo non la sottrae al giudizio di legittimità costituzionale. Infatti, con ricorsi presentati dalle Province autonome di Bolzano e di Trento, dalle Regioni autonome Trentino-Alto Adige/Südtirol e Friuli Venezia Giulia e dalla Regione Veneto, aventi ad oggetto la legittimità costituzionale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w:t>
      </w:r>
      <w:proofErr w:type="gramStart"/>
      <w:r w:rsidRPr="00447ADB">
        <w:rPr>
          <w:rFonts w:ascii="Times New Roman" w:hAnsi="Times New Roman" w:cs="Times New Roman"/>
          <w:sz w:val="22"/>
          <w:szCs w:val="22"/>
        </w:rPr>
        <w:t>dell’art.</w:t>
      </w:r>
      <w:proofErr w:type="gramEnd"/>
      <w:r w:rsidRPr="00447ADB">
        <w:rPr>
          <w:rFonts w:ascii="Times New Roman" w:hAnsi="Times New Roman" w:cs="Times New Roman"/>
          <w:sz w:val="22"/>
          <w:szCs w:val="22"/>
        </w:rPr>
        <w:t xml:space="preserve"> 1, comma 1, lettere b), ed e), della legge 12 agosto 2016, n. 164 (Modifiche alla legge 24 dicembre 2012, n. 243, in materia di equilibrio dei bilanci delle regioni e degli enti locali)”, i ricorrenti hanno eccepito</w:t>
      </w:r>
    </w:p>
    <w:p w:rsidR="00447ADB" w:rsidRPr="00447ADB" w:rsidRDefault="00447ADB" w:rsidP="00447ADB">
      <w:pPr>
        <w:jc w:val="both"/>
        <w:rPr>
          <w:rFonts w:ascii="Times New Roman" w:hAnsi="Times New Roman" w:cs="Times New Roman"/>
          <w:sz w:val="22"/>
          <w:szCs w:val="22"/>
        </w:rPr>
      </w:pPr>
      <w:proofErr w:type="gramStart"/>
      <w:r w:rsidRPr="00447ADB">
        <w:rPr>
          <w:rFonts w:ascii="Times New Roman" w:hAnsi="Times New Roman" w:cs="Times New Roman"/>
          <w:sz w:val="22"/>
          <w:szCs w:val="22"/>
        </w:rPr>
        <w:t>che</w:t>
      </w:r>
      <w:proofErr w:type="gramEnd"/>
      <w:r w:rsidRPr="00447ADB">
        <w:rPr>
          <w:rFonts w:ascii="Times New Roman" w:hAnsi="Times New Roman" w:cs="Times New Roman"/>
          <w:sz w:val="22"/>
          <w:szCs w:val="22"/>
        </w:rPr>
        <w:t xml:space="preserve"> lo Stato non può, attraverso le regole del pareggio di bilancio, privare gli enti di risorse che sono nella loro disponibilità, quali l'avanzo di amministrazione ed il fondo pluriennale vincolato, che accoglie risorse già legittimamente impegnate, dietro alle quali, quindi, c'è un debito. Tali poste, secondo le regole vigenti, non rientrano fra le entrate finali, le sole considerate dal pareggio, se non entro limiti e sotto condizioni molto restrittive che spesso le rendono inutilizzabili.</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-Con la sentenza n. 247/2017, depositata in Cancelleria il 29 novembre 2017, la Corte ha dichiarato le censure infondate, ma solo dopo aver sottoposto le norme impugnate ad un'interpretazione «costituzionalmente orientata» che, di fatto, ne ribalta completamente il significato, stabilendo che: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a)</w:t>
      </w:r>
      <w:r w:rsidRPr="00447ADB">
        <w:rPr>
          <w:rFonts w:ascii="Times New Roman" w:hAnsi="Times New Roman" w:cs="Times New Roman"/>
          <w:sz w:val="22"/>
          <w:szCs w:val="22"/>
        </w:rPr>
        <w:tab/>
        <w:t>l'avanzo di amministrazione, una volta accertato nelle forme di legge, deve rimanere nella disponibilità dell'ente che lo realizza e non risulta incluso fra le entrate finali solo perché la legge n. 243/2012 guarda al bilancio di previsione, mentre l'avanzo è accertato in sede di rendiconto, il cui utilizzo è fortemente ostacolato dalle regole del pareggio;</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lastRenderedPageBreak/>
        <w:t>b)</w:t>
      </w:r>
      <w:r w:rsidRPr="00447ADB">
        <w:rPr>
          <w:rFonts w:ascii="Times New Roman" w:hAnsi="Times New Roman" w:cs="Times New Roman"/>
          <w:sz w:val="22"/>
          <w:szCs w:val="22"/>
        </w:rPr>
        <w:tab/>
        <w:t>per il fondo pluriennale vincolato, gli enti hanno la piena facoltà di gestirlo indipendentemente dalla sua collocazione in bilancio, mentre la sua esclusione dal saldo comporta il rischio di ostacolare l'adempimento di obbligazioni «legittimamente assunte e in origine dotate di piena copertura finanziaria».</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Sostanzialmente, secondo la Consulta, le limitazioni all'utilizzo dell'avanzo e del fondo pluriennale vincolato motivate da esigenze di finanza pubblica non possono pregiudicare il regolare adempimento delle obbligazioni passive legittimamente contratte dagli enti territoriali; non è conforme alla Costituzione la preclusione a utilizzare l'avanzo di amministrazione, pur dopo il suo accertamento nelle forma di legge, dovendo esso permanere nella disponibilità d'impiego dell'ente che ne è titolare. La mancata inclusione dell'avanzo tra le entrate rilevanti ai fini dell'equilibrio del bilancio verrebbe a configurare un contributo ai vincoli di finanza pubblica senza che ne ricorrano i necessari requisiti. Ciò risulterebbe intrinsecamente contrario ai principi di eguaglianza, ragionevolezza e proporzionalità, perché l'impatto del meccanismo sarebbe del tutto casuale e perché verrebbe a costituire una immotivata penalizzazione delle amministrazioni più virtuose.</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CONSIDERATO CHE: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-il Prof. Luca Antonini, in un intervento pubblicato il 31 gennaio 2018 sulla Rivista dell’Associazione Italiana dei Costituzionalisti, scrive che la Corte Costituzionale nella sentenza n. 247/2017 ha deciso «di utilizzare la tecnica interpretativa di rigetto, ritenendo possibile “</w:t>
      </w:r>
      <w:r w:rsidRPr="00447ADB">
        <w:rPr>
          <w:rFonts w:ascii="Times New Roman" w:hAnsi="Times New Roman" w:cs="Times New Roman"/>
          <w:i/>
          <w:sz w:val="22"/>
          <w:szCs w:val="22"/>
        </w:rPr>
        <w:t xml:space="preserve">un’interpretazione </w:t>
      </w:r>
      <w:proofErr w:type="spellStart"/>
      <w:r w:rsidRPr="00447ADB">
        <w:rPr>
          <w:rFonts w:ascii="Times New Roman" w:hAnsi="Times New Roman" w:cs="Times New Roman"/>
          <w:i/>
          <w:sz w:val="22"/>
          <w:szCs w:val="22"/>
        </w:rPr>
        <w:t>adeguatrice</w:t>
      </w:r>
      <w:proofErr w:type="spellEnd"/>
      <w:r w:rsidRPr="00447ADB">
        <w:rPr>
          <w:rFonts w:ascii="Times New Roman" w:hAnsi="Times New Roman" w:cs="Times New Roman"/>
          <w:i/>
          <w:sz w:val="22"/>
          <w:szCs w:val="22"/>
        </w:rPr>
        <w:t xml:space="preserve"> della disposizione in questione, in grado di escludere tale contrasto</w:t>
      </w:r>
      <w:r w:rsidRPr="00447ADB">
        <w:rPr>
          <w:rFonts w:ascii="Times New Roman" w:hAnsi="Times New Roman" w:cs="Times New Roman"/>
          <w:sz w:val="22"/>
          <w:szCs w:val="22"/>
        </w:rPr>
        <w:t>”. Precisa, infatti, la Corte, che “</w:t>
      </w:r>
      <w:r w:rsidRPr="00447ADB">
        <w:rPr>
          <w:rFonts w:ascii="Times New Roman" w:hAnsi="Times New Roman" w:cs="Times New Roman"/>
          <w:i/>
          <w:sz w:val="22"/>
          <w:szCs w:val="22"/>
        </w:rPr>
        <w:t>l’interpretazione non può che essere quella secondo cui l’avanzo di amministrazione rimane nella disponibilità dell’ente che lo realizza</w:t>
      </w:r>
      <w:r w:rsidRPr="00447ADB">
        <w:rPr>
          <w:rFonts w:ascii="Times New Roman" w:hAnsi="Times New Roman" w:cs="Times New Roman"/>
          <w:sz w:val="22"/>
          <w:szCs w:val="22"/>
        </w:rPr>
        <w:t>”, perché “</w:t>
      </w:r>
      <w:r w:rsidRPr="00447ADB">
        <w:rPr>
          <w:rFonts w:ascii="Times New Roman" w:hAnsi="Times New Roman" w:cs="Times New Roman"/>
          <w:i/>
          <w:sz w:val="22"/>
          <w:szCs w:val="22"/>
        </w:rPr>
        <w:t>gli enti territoriali in avanzo di amministrazione hanno la mera facoltà – e non l’obbligo – di mettere a disposizione delle politiche regionali di investimento una parte o l’intero avanzo. È infatti nella piena disponibilità dell’ente titolare dell’avanzo partecipare o meno alle intese in ambito regionale. Solo in caso di libero esercizio di tale opzione l’ente può destinare l’avanzo all’incremento degli spazi finanziari regionali. Ove, viceversa, tale opzione solidaristica non sia ritenuta utile dall’ente titolare dell’avanzo, in capo allo stesso permane la disponibilità del suo impiego</w:t>
      </w:r>
      <w:r w:rsidRPr="00447ADB">
        <w:rPr>
          <w:rFonts w:ascii="Times New Roman" w:hAnsi="Times New Roman" w:cs="Times New Roman"/>
          <w:sz w:val="22"/>
          <w:szCs w:val="22"/>
        </w:rPr>
        <w:t>”»</w:t>
      </w:r>
      <w:r>
        <w:rPr>
          <w:rFonts w:ascii="Times New Roman" w:hAnsi="Times New Roman" w:cs="Times New Roman"/>
          <w:sz w:val="22"/>
          <w:szCs w:val="22"/>
        </w:rPr>
        <w:t>.</w:t>
      </w:r>
      <w:r w:rsidRPr="00447ADB">
        <w:rPr>
          <w:rFonts w:ascii="Times New Roman" w:hAnsi="Times New Roman" w:cs="Times New Roman"/>
          <w:sz w:val="22"/>
          <w:szCs w:val="22"/>
        </w:rPr>
        <w:t xml:space="preserve"> </w:t>
      </w:r>
    </w:p>
    <w:p w:rsidR="00447ADB" w:rsidRPr="00447ADB" w:rsidRDefault="00447ADB" w:rsidP="00447ADB">
      <w:pPr>
        <w:jc w:val="both"/>
        <w:rPr>
          <w:rFonts w:ascii="Times New Roman" w:hAnsi="Times New Roman" w:cs="Times New Roman"/>
          <w:i/>
          <w:sz w:val="22"/>
          <w:szCs w:val="22"/>
        </w:rPr>
      </w:pPr>
      <w:r w:rsidRPr="00447ADB">
        <w:rPr>
          <w:rFonts w:ascii="Times New Roman" w:hAnsi="Times New Roman" w:cs="Times New Roman"/>
          <w:sz w:val="22"/>
          <w:szCs w:val="22"/>
        </w:rPr>
        <w:t>- secondo il prof. Antonini: «In base a tale interpretazione, quindi, l’ente “può”, ma non “deve”, mettere a disposizione delle politiche regionali l’intero o anche una parte dell’avanzo, ma ne mantiene la piena disponibilità: pertanto non si può ritenere (come invece era probabilmente nella intenzione del Ministero dell’economia e delle finanze), che le risorse dell’avanzo di amministrazione degli enti territoriali rimangano “congelate” in attesa dell’eventuale attivazione delle intese regionali. Tali risorse possono essere quindi da subito utilizzate dall’ente territoriale. La diversa interpretazione avrebbe portato invece, paradossalmente, a replicare, con la nuova disciplina, che pure è stata diretta a sancirne il superamento, uno dei principali problemi del Patto di Stabilità: quello per cui gli enti territoriali avevano la disponibilità di risorse, ma il Patto impediva di spenderle. In ogni caso, la sentenza corrobora la propria opzione interpretativa da diversi punti di vista. “</w:t>
      </w:r>
      <w:r w:rsidRPr="00447ADB">
        <w:rPr>
          <w:rFonts w:ascii="Times New Roman" w:hAnsi="Times New Roman" w:cs="Times New Roman"/>
          <w:i/>
          <w:sz w:val="22"/>
          <w:szCs w:val="22"/>
        </w:rPr>
        <w:t xml:space="preserve">Anzitutto, la mancata previsione dell’avanzo di amministrazione tra le entrate disponibili deriva dal fatto che la norma contestata è riferita al momento di redazione del bilancio di previsione, mentre l’accertamento del risultato di amministrazione dell’anno precedente avviene a esercizio inoltrato con l’approvazione del rendiconto. Solo dopo l’eventuale accertamento del risultato positivo, la risorsa </w:t>
      </w:r>
      <w:proofErr w:type="spellStart"/>
      <w:r w:rsidRPr="00447ADB">
        <w:rPr>
          <w:rFonts w:ascii="Times New Roman" w:hAnsi="Times New Roman" w:cs="Times New Roman"/>
          <w:i/>
          <w:sz w:val="22"/>
          <w:szCs w:val="22"/>
        </w:rPr>
        <w:t>puo</w:t>
      </w:r>
      <w:proofErr w:type="spellEnd"/>
      <w:r w:rsidRPr="00447ADB">
        <w:rPr>
          <w:rFonts w:ascii="Times New Roman" w:hAnsi="Times New Roman" w:cs="Times New Roman"/>
          <w:i/>
          <w:sz w:val="22"/>
          <w:szCs w:val="22"/>
        </w:rPr>
        <w:t xml:space="preserve">̀ essere iscritta in bilancio con apposita variazione in entrata e in uscita (con destinazione che – salvo casi eccezionali – dovrebbe essere rivolta a spese di investimento). </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i/>
          <w:sz w:val="22"/>
          <w:szCs w:val="22"/>
        </w:rPr>
        <w:t xml:space="preserve">È evidente che la mancata iscrizione dell’avanzo di amministrazione nel bilancio di previsione deriva dalla fisiologia temporale della gestione contabile e dal collegato principio di copertura della spesa, secondo cui qualsiasi intervento </w:t>
      </w:r>
      <w:proofErr w:type="spellStart"/>
      <w:r w:rsidRPr="00447ADB">
        <w:rPr>
          <w:rFonts w:ascii="Times New Roman" w:hAnsi="Times New Roman" w:cs="Times New Roman"/>
          <w:i/>
          <w:sz w:val="22"/>
          <w:szCs w:val="22"/>
        </w:rPr>
        <w:t>puo</w:t>
      </w:r>
      <w:proofErr w:type="spellEnd"/>
      <w:r w:rsidRPr="00447ADB">
        <w:rPr>
          <w:rFonts w:ascii="Times New Roman" w:hAnsi="Times New Roman" w:cs="Times New Roman"/>
          <w:i/>
          <w:sz w:val="22"/>
          <w:szCs w:val="22"/>
        </w:rPr>
        <w:t>̀ essere realizzato solo dopo l’accertamento dell’esistenza della correlata risorsa</w:t>
      </w:r>
      <w:r w:rsidRPr="00447ADB">
        <w:rPr>
          <w:rFonts w:ascii="Times New Roman" w:hAnsi="Times New Roman" w:cs="Times New Roman"/>
          <w:sz w:val="22"/>
          <w:szCs w:val="22"/>
        </w:rPr>
        <w:t xml:space="preserve">. (...) </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Ma non solo. Un’interpretazione vincolante del “conferimento” dell’avanzo verrebbe poi a costituire una contribuzione a carico del titolare dell’avanzo stesso in favore delle esigenze della finanza pubblica allargata, senza che ne sussistano gli estremi; in altre parole la norma determinerebbe “</w:t>
      </w:r>
      <w:r w:rsidRPr="00447ADB">
        <w:rPr>
          <w:rFonts w:ascii="Times New Roman" w:hAnsi="Times New Roman" w:cs="Times New Roman"/>
          <w:i/>
          <w:sz w:val="22"/>
          <w:szCs w:val="22"/>
        </w:rPr>
        <w:t xml:space="preserve">una sottrazione materiale di risorse, analoga alla previsione di una riserva all’erario o di un accantonamento di entrata a valere sulle quote di tributi erariali di spettanza regionale”, per cui si sarebbe in presenza di un contributo ai vincoli di finanza pubblica “senza averne i necessari requisiti e presupposti tra i quali è opportuno ricordare: a) la previa quantificazione; b) la </w:t>
      </w:r>
      <w:proofErr w:type="spellStart"/>
      <w:r w:rsidRPr="00447ADB">
        <w:rPr>
          <w:rFonts w:ascii="Times New Roman" w:hAnsi="Times New Roman" w:cs="Times New Roman"/>
          <w:i/>
          <w:sz w:val="22"/>
          <w:szCs w:val="22"/>
        </w:rPr>
        <w:t>proporzionalita</w:t>
      </w:r>
      <w:proofErr w:type="spellEnd"/>
      <w:r w:rsidRPr="00447ADB">
        <w:rPr>
          <w:rFonts w:ascii="Times New Roman" w:hAnsi="Times New Roman" w:cs="Times New Roman"/>
          <w:i/>
          <w:sz w:val="22"/>
          <w:szCs w:val="22"/>
        </w:rPr>
        <w:t xml:space="preserve">̀ rispetto alle condizioni economico-finanziarie dell’ente assoggettato; c) il puntuale collegamento alla manovra di finanza pubblica realizzata dallo Stato (sentenze n. 188 del 2016, n. 155 e n. 19 del 2015)”. </w:t>
      </w:r>
      <w:r w:rsidRPr="00447ADB">
        <w:rPr>
          <w:rFonts w:ascii="Times New Roman" w:hAnsi="Times New Roman" w:cs="Times New Roman"/>
          <w:sz w:val="22"/>
          <w:szCs w:val="22"/>
        </w:rPr>
        <w:t xml:space="preserve">(...) </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La sentenza mette anche in evidenza che l’impiego dell’avanzo quale</w:t>
      </w:r>
      <w:r>
        <w:rPr>
          <w:rFonts w:ascii="Times New Roman" w:hAnsi="Times New Roman" w:cs="Times New Roman"/>
          <w:sz w:val="22"/>
          <w:szCs w:val="22"/>
        </w:rPr>
        <w:t xml:space="preserve"> contributo ai vincoli di </w:t>
      </w:r>
      <w:r w:rsidRPr="00447ADB">
        <w:rPr>
          <w:rFonts w:ascii="Times New Roman" w:hAnsi="Times New Roman" w:cs="Times New Roman"/>
          <w:sz w:val="22"/>
          <w:szCs w:val="22"/>
        </w:rPr>
        <w:t xml:space="preserve">finanza pubblica sarebbe contrario ai principi di eguaglianza e </w:t>
      </w:r>
      <w:proofErr w:type="spellStart"/>
      <w:r w:rsidRPr="00447ADB">
        <w:rPr>
          <w:rFonts w:ascii="Times New Roman" w:hAnsi="Times New Roman" w:cs="Times New Roman"/>
          <w:sz w:val="22"/>
          <w:szCs w:val="22"/>
        </w:rPr>
        <w:t>proporzionalita</w:t>
      </w:r>
      <w:proofErr w:type="spellEnd"/>
      <w:r w:rsidRPr="00447ADB">
        <w:rPr>
          <w:rFonts w:ascii="Times New Roman" w:hAnsi="Times New Roman" w:cs="Times New Roman"/>
          <w:sz w:val="22"/>
          <w:szCs w:val="22"/>
        </w:rPr>
        <w:t xml:space="preserve">̀ nella determinazione del sacrificio </w:t>
      </w:r>
      <w:r w:rsidRPr="00447ADB">
        <w:rPr>
          <w:rFonts w:ascii="Times New Roman" w:hAnsi="Times New Roman" w:cs="Times New Roman"/>
          <w:sz w:val="22"/>
          <w:szCs w:val="22"/>
        </w:rPr>
        <w:lastRenderedPageBreak/>
        <w:t>posto a carico dei singoli enti, “</w:t>
      </w:r>
      <w:proofErr w:type="spellStart"/>
      <w:r w:rsidRPr="00447ADB">
        <w:rPr>
          <w:rFonts w:ascii="Times New Roman" w:hAnsi="Times New Roman" w:cs="Times New Roman"/>
          <w:i/>
          <w:sz w:val="22"/>
          <w:szCs w:val="22"/>
        </w:rPr>
        <w:t>poiche</w:t>
      </w:r>
      <w:proofErr w:type="spellEnd"/>
      <w:r w:rsidRPr="00447ADB">
        <w:rPr>
          <w:rFonts w:ascii="Times New Roman" w:hAnsi="Times New Roman" w:cs="Times New Roman"/>
          <w:i/>
          <w:sz w:val="22"/>
          <w:szCs w:val="22"/>
        </w:rPr>
        <w:t>́ la sua dimensione sarebbe del tutto casuale e legata all’episodico concatenarsi delle varie dinamiche dei singoli bilanci</w:t>
      </w:r>
      <w:r w:rsidRPr="00447ADB">
        <w:rPr>
          <w:rFonts w:ascii="Times New Roman" w:hAnsi="Times New Roman" w:cs="Times New Roman"/>
          <w:sz w:val="22"/>
          <w:szCs w:val="22"/>
        </w:rPr>
        <w:t>”; sarebbe anche “</w:t>
      </w:r>
      <w:r w:rsidRPr="00447ADB">
        <w:rPr>
          <w:rFonts w:ascii="Times New Roman" w:hAnsi="Times New Roman" w:cs="Times New Roman"/>
          <w:i/>
          <w:sz w:val="22"/>
          <w:szCs w:val="22"/>
        </w:rPr>
        <w:t xml:space="preserve">irragionevole, </w:t>
      </w:r>
      <w:proofErr w:type="spellStart"/>
      <w:r w:rsidRPr="00447ADB">
        <w:rPr>
          <w:rFonts w:ascii="Times New Roman" w:hAnsi="Times New Roman" w:cs="Times New Roman"/>
          <w:i/>
          <w:sz w:val="22"/>
          <w:szCs w:val="22"/>
        </w:rPr>
        <w:t>perche</w:t>
      </w:r>
      <w:proofErr w:type="spellEnd"/>
      <w:r w:rsidRPr="00447ADB">
        <w:rPr>
          <w:rFonts w:ascii="Times New Roman" w:hAnsi="Times New Roman" w:cs="Times New Roman"/>
          <w:i/>
          <w:sz w:val="22"/>
          <w:szCs w:val="22"/>
        </w:rPr>
        <w:t xml:space="preserve">́ verrebbe a costituire una immotivata penalizzazione finanziaria per le gestioni virtuose, atteso che la realizzazione di un risultato positivo – salvo il caso di gravi carenze nella prestazione dei servizi alla </w:t>
      </w:r>
      <w:proofErr w:type="spellStart"/>
      <w:r w:rsidRPr="00447ADB">
        <w:rPr>
          <w:rFonts w:ascii="Times New Roman" w:hAnsi="Times New Roman" w:cs="Times New Roman"/>
          <w:i/>
          <w:sz w:val="22"/>
          <w:szCs w:val="22"/>
        </w:rPr>
        <w:t>collettivita</w:t>
      </w:r>
      <w:proofErr w:type="spellEnd"/>
      <w:r w:rsidRPr="00447ADB">
        <w:rPr>
          <w:rFonts w:ascii="Times New Roman" w:hAnsi="Times New Roman" w:cs="Times New Roman"/>
          <w:i/>
          <w:sz w:val="22"/>
          <w:szCs w:val="22"/>
        </w:rPr>
        <w:t>̀ – è di regola indi- ce di una condotta virtuosa dell’ente territoriale</w:t>
      </w:r>
      <w:r w:rsidRPr="00447ADB">
        <w:rPr>
          <w:rFonts w:ascii="Times New Roman" w:hAnsi="Times New Roman" w:cs="Times New Roman"/>
          <w:sz w:val="22"/>
          <w:szCs w:val="22"/>
        </w:rPr>
        <w:t xml:space="preserve">”. </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xml:space="preserve">Conclude, quindi, anche richiamando l’art. 97 </w:t>
      </w:r>
      <w:proofErr w:type="spellStart"/>
      <w:proofErr w:type="gramStart"/>
      <w:r w:rsidRPr="00447ADB">
        <w:rPr>
          <w:rFonts w:ascii="Times New Roman" w:hAnsi="Times New Roman" w:cs="Times New Roman"/>
          <w:sz w:val="22"/>
          <w:szCs w:val="22"/>
        </w:rPr>
        <w:t>Cost</w:t>
      </w:r>
      <w:proofErr w:type="spellEnd"/>
      <w:r w:rsidRPr="00447ADB">
        <w:rPr>
          <w:rFonts w:ascii="Times New Roman" w:hAnsi="Times New Roman" w:cs="Times New Roman"/>
          <w:sz w:val="22"/>
          <w:szCs w:val="22"/>
        </w:rPr>
        <w:t>.,</w:t>
      </w:r>
      <w:proofErr w:type="gramEnd"/>
      <w:r w:rsidRPr="00447ADB">
        <w:rPr>
          <w:rFonts w:ascii="Times New Roman" w:hAnsi="Times New Roman" w:cs="Times New Roman"/>
          <w:sz w:val="22"/>
          <w:szCs w:val="22"/>
        </w:rPr>
        <w:t xml:space="preserve"> in forza del quale si deve ritenere che il risultato di amministrazione costituisca “</w:t>
      </w:r>
      <w:r w:rsidRPr="00447ADB">
        <w:rPr>
          <w:rFonts w:ascii="Times New Roman" w:hAnsi="Times New Roman" w:cs="Times New Roman"/>
          <w:i/>
          <w:sz w:val="22"/>
          <w:szCs w:val="22"/>
        </w:rPr>
        <w:t xml:space="preserve">parte integrante, anzi coefficiente necessario, della qualificazione del concetto di «equilibrio dei bilanci». Nell’articolazione teleologica del precetto costituzionale, la quale </w:t>
      </w:r>
      <w:proofErr w:type="spellStart"/>
      <w:r w:rsidRPr="00447ADB">
        <w:rPr>
          <w:rFonts w:ascii="Times New Roman" w:hAnsi="Times New Roman" w:cs="Times New Roman"/>
          <w:i/>
          <w:sz w:val="22"/>
          <w:szCs w:val="22"/>
        </w:rPr>
        <w:t>puo</w:t>
      </w:r>
      <w:proofErr w:type="spellEnd"/>
      <w:r w:rsidRPr="00447ADB">
        <w:rPr>
          <w:rFonts w:ascii="Times New Roman" w:hAnsi="Times New Roman" w:cs="Times New Roman"/>
          <w:i/>
          <w:sz w:val="22"/>
          <w:szCs w:val="22"/>
        </w:rPr>
        <w:t xml:space="preserve">̀ essere tradotta, sotto il profilo dinamico, nella continua ricerca degli equilibri – la materia finanziaria è “viva” e sottoposta a una notevole </w:t>
      </w:r>
      <w:proofErr w:type="spellStart"/>
      <w:r w:rsidRPr="00447ADB">
        <w:rPr>
          <w:rFonts w:ascii="Times New Roman" w:hAnsi="Times New Roman" w:cs="Times New Roman"/>
          <w:i/>
          <w:sz w:val="22"/>
          <w:szCs w:val="22"/>
        </w:rPr>
        <w:t>quantita</w:t>
      </w:r>
      <w:proofErr w:type="spellEnd"/>
      <w:r w:rsidRPr="00447ADB">
        <w:rPr>
          <w:rFonts w:ascii="Times New Roman" w:hAnsi="Times New Roman" w:cs="Times New Roman"/>
          <w:i/>
          <w:sz w:val="22"/>
          <w:szCs w:val="22"/>
        </w:rPr>
        <w:t xml:space="preserve">̀ di variabili che non consentono, se non casualmente, il raggiungimento e il mantenimento di una situazione stabile e definitiva –,quello che viene in rilievo nel presente ragionamento, </w:t>
      </w:r>
      <w:proofErr w:type="spellStart"/>
      <w:r w:rsidRPr="00447ADB">
        <w:rPr>
          <w:rFonts w:ascii="Times New Roman" w:hAnsi="Times New Roman" w:cs="Times New Roman"/>
          <w:i/>
          <w:sz w:val="22"/>
          <w:szCs w:val="22"/>
        </w:rPr>
        <w:t>cioe</w:t>
      </w:r>
      <w:proofErr w:type="spellEnd"/>
      <w:r w:rsidRPr="00447ADB">
        <w:rPr>
          <w:rFonts w:ascii="Times New Roman" w:hAnsi="Times New Roman" w:cs="Times New Roman"/>
          <w:i/>
          <w:sz w:val="22"/>
          <w:szCs w:val="22"/>
        </w:rPr>
        <w:t xml:space="preserve">̀ l’equilibrio di bilancio ex post, corrisponde all’assenza di un disavanzo al termine dell’esercizio finanziario. E tuttavia il buon andamento presuppone anche che al positivo risultato finanziario faccia riscontro una corretta e ottimale erogazione dei servizi e delle prestazioni sociali rese alla </w:t>
      </w:r>
      <w:proofErr w:type="spellStart"/>
      <w:r w:rsidRPr="00447ADB">
        <w:rPr>
          <w:rFonts w:ascii="Times New Roman" w:hAnsi="Times New Roman" w:cs="Times New Roman"/>
          <w:i/>
          <w:sz w:val="22"/>
          <w:szCs w:val="22"/>
        </w:rPr>
        <w:t>collettivita</w:t>
      </w:r>
      <w:proofErr w:type="spellEnd"/>
      <w:r w:rsidRPr="00447ADB">
        <w:rPr>
          <w:rFonts w:ascii="Times New Roman" w:hAnsi="Times New Roman" w:cs="Times New Roman"/>
          <w:i/>
          <w:sz w:val="22"/>
          <w:szCs w:val="22"/>
        </w:rPr>
        <w:t>̀</w:t>
      </w:r>
      <w:r w:rsidRPr="00447ADB">
        <w:rPr>
          <w:rFonts w:ascii="Times New Roman" w:hAnsi="Times New Roman" w:cs="Times New Roman"/>
          <w:sz w:val="22"/>
          <w:szCs w:val="22"/>
        </w:rPr>
        <w:t xml:space="preserve">”. </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xml:space="preserve">Una volta escluso, quindi, che per come è strutturata la norma possa inquadrarsi come un legittimo contributo alla </w:t>
      </w:r>
      <w:proofErr w:type="spellStart"/>
      <w:r w:rsidRPr="00447ADB">
        <w:rPr>
          <w:rFonts w:ascii="Times New Roman" w:hAnsi="Times New Roman" w:cs="Times New Roman"/>
          <w:sz w:val="22"/>
          <w:szCs w:val="22"/>
        </w:rPr>
        <w:t>sostenibilita</w:t>
      </w:r>
      <w:proofErr w:type="spellEnd"/>
      <w:r w:rsidRPr="00447ADB">
        <w:rPr>
          <w:rFonts w:ascii="Times New Roman" w:hAnsi="Times New Roman" w:cs="Times New Roman"/>
          <w:sz w:val="22"/>
          <w:szCs w:val="22"/>
        </w:rPr>
        <w:t xml:space="preserve">̀ del debito pubblico, la sentenza conclude che l’avanzo di amministrazione non </w:t>
      </w:r>
      <w:proofErr w:type="spellStart"/>
      <w:r w:rsidRPr="00447ADB">
        <w:rPr>
          <w:rFonts w:ascii="Times New Roman" w:hAnsi="Times New Roman" w:cs="Times New Roman"/>
          <w:sz w:val="22"/>
          <w:szCs w:val="22"/>
        </w:rPr>
        <w:t>puo</w:t>
      </w:r>
      <w:proofErr w:type="spellEnd"/>
      <w:r w:rsidRPr="00447ADB">
        <w:rPr>
          <w:rFonts w:ascii="Times New Roman" w:hAnsi="Times New Roman" w:cs="Times New Roman"/>
          <w:sz w:val="22"/>
          <w:szCs w:val="22"/>
        </w:rPr>
        <w:t>̀ essere oggetto di “</w:t>
      </w:r>
      <w:r w:rsidRPr="00447ADB">
        <w:rPr>
          <w:rFonts w:ascii="Times New Roman" w:hAnsi="Times New Roman" w:cs="Times New Roman"/>
          <w:i/>
          <w:sz w:val="22"/>
          <w:szCs w:val="22"/>
        </w:rPr>
        <w:t>prelievo forzoso</w:t>
      </w:r>
      <w:r w:rsidRPr="00447ADB">
        <w:rPr>
          <w:rFonts w:ascii="Times New Roman" w:hAnsi="Times New Roman" w:cs="Times New Roman"/>
          <w:sz w:val="22"/>
          <w:szCs w:val="22"/>
        </w:rPr>
        <w:t xml:space="preserve">” attraverso indirette prescrizioni tecniche come quelle impugnate dalla ricorrente. L’utilizzo della tecnica della interpretazione </w:t>
      </w:r>
      <w:proofErr w:type="spellStart"/>
      <w:r w:rsidRPr="00447ADB">
        <w:rPr>
          <w:rFonts w:ascii="Times New Roman" w:hAnsi="Times New Roman" w:cs="Times New Roman"/>
          <w:sz w:val="22"/>
          <w:szCs w:val="22"/>
        </w:rPr>
        <w:t>adeguatrice</w:t>
      </w:r>
      <w:proofErr w:type="spellEnd"/>
      <w:r w:rsidRPr="00447ADB">
        <w:rPr>
          <w:rFonts w:ascii="Times New Roman" w:hAnsi="Times New Roman" w:cs="Times New Roman"/>
          <w:sz w:val="22"/>
          <w:szCs w:val="22"/>
        </w:rPr>
        <w:t xml:space="preserve">, motivata sui parametri costituzionali riferibili a tutto il complesso delle autonomie territoriali, vale quindi a estendere a tutti questi </w:t>
      </w:r>
      <w:r>
        <w:rPr>
          <w:rFonts w:ascii="Times New Roman" w:hAnsi="Times New Roman" w:cs="Times New Roman"/>
          <w:sz w:val="22"/>
          <w:szCs w:val="22"/>
        </w:rPr>
        <w:t>enti l’effetto della pronuncia».</w:t>
      </w:r>
      <w:r w:rsidRPr="00447ADB">
        <w:rPr>
          <w:rFonts w:ascii="Times New Roman" w:hAnsi="Times New Roman" w:cs="Times New Roman"/>
          <w:sz w:val="22"/>
          <w:szCs w:val="22"/>
        </w:rPr>
        <w:t xml:space="preserve"> </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RILEVATO CHE: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con la successiva circolare n. 5/2018 n. 5 del 20 febbraio 2018, la Ragioneria generale dello Stato, oltre a fornire le consuete indicazioni operative a regioni ed enti locali sulle regole di finanza pubblica, ha riletto l'intera disciplina contenuta nella legge «rinforzata» n. 243/2012 alla luce dell'interpretazione costituzionalmente orientata contenuta nella recente sentenza n. 247/2017 della Consulta, citata direttamente nella circolare. Al riguardo, la circolare si limita tuttavia a sottolineare che gli strumenti già previsti dal legislatore (intese regionali e patti di solidarietà nazionale) e la maggiore flessibilità in corso di gestione introdotta dall'ultima legge di bilancio (in base alla quale il prospetto dimostrativo del rispetto del saldo da allegare al bilancio di previsione degli enti territoriali non deve considerare gli stanziamenti del fondo crediti di dubbia esigibilità e dei fondi spese e rischi futuri concernenti accantonamenti destinati a confluire nel risultato di amministrazione) rappresentano «un efficace mezzo di utilizzo, e progressivo smaltimento, dell'avanzo di amministrazione da parte degli enti territoriali in linea con le interpretazioni della Corte costituzionale espresse nella richiamata sentenza n. 247 del 2017». In ordine al fondo pluriennale vincolato, in relazione al quale la Corte ha negato radicalmente la legittimità di artifici contabili che ne pregiudichino il pieno utilizzo, la circolare afferma che «per fondo pluriennale di entrata e di spesa finanziato dalle entrate finali, valido ai fini del rispetto dei vincoli di finanza pubblica a decorrere dall'esercizio 2020, si intende il fondo pluriennale (di entrata e di spesa) al netto della quota finanziata dal ricorso all'indebitamento e di eventuali quote derivanti da devoluzione di mutui confluite in avanzo di amministrazione». In pratica, quindi, anche dal 2020 il fondo pluriennale vincolato derivante da applicazione di avanzo, secondo la Ragioneria dello Stato, dovrebbe essere conteggiato nel saldo come già accade oggi e solo quello derivante da debito (comprese le quote di vecchi mutui transitate dall'avanzo vincolato) dovrà essere escluso. Apparentemente, quindi, la sentenza in esame non avrebbe - secondo la Ragioneria Generale dello Stato - conseguenze operative in merito alle modalità con cui gli enti possono utilizzare l’avanzo di amministrazione disponibile ai fini del rispetto della regola del pareggio.</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-In merito è intervenuto anche l’Ufficio Parlamentare di Bilancio, che, nel Focus tematico n. 5/2018, in ordine alle possibili implicazioni della sentenza n. 247/2017, riconosce che la stessa “</w:t>
      </w:r>
      <w:r w:rsidRPr="00447ADB">
        <w:rPr>
          <w:rFonts w:ascii="Times New Roman" w:hAnsi="Times New Roman" w:cs="Times New Roman"/>
          <w:i/>
          <w:sz w:val="22"/>
          <w:szCs w:val="22"/>
        </w:rPr>
        <w:t>sembra ammettere la possibilità per le Amministrazioni locali di considerare l’avanzo di amministrazione, una volta che esso sia stato effettivamente accertato in sede di rendiconto per l’anno precedente, tra le voci di entrata utili ai fini del pareggio per finanziare la spesa di investimento</w:t>
      </w:r>
      <w:r w:rsidRPr="00447ADB">
        <w:rPr>
          <w:rFonts w:ascii="Times New Roman" w:hAnsi="Times New Roman" w:cs="Times New Roman"/>
          <w:sz w:val="22"/>
          <w:szCs w:val="22"/>
        </w:rPr>
        <w:t>”. Ne sottolinea quindi i conseguenti effetti per la</w:t>
      </w:r>
      <w:r>
        <w:rPr>
          <w:rFonts w:ascii="Times New Roman" w:hAnsi="Times New Roman" w:cs="Times New Roman"/>
          <w:sz w:val="22"/>
          <w:szCs w:val="22"/>
        </w:rPr>
        <w:t xml:space="preserve"> </w:t>
      </w:r>
      <w:r w:rsidRPr="00447ADB">
        <w:rPr>
          <w:rFonts w:ascii="Times New Roman" w:hAnsi="Times New Roman" w:cs="Times New Roman"/>
          <w:sz w:val="22"/>
          <w:szCs w:val="22"/>
        </w:rPr>
        <w:t xml:space="preserve">finanza pubblica, data l’entità delle somme potenzialmente interessate derivanti dallo sblocco nell'impiego degli avanzi di amministrazione, in quanto lo Stato dovrebbe compensare gli eventuali disallineamenti dei saldi di finanza pubblica, derivanti dal libero utilizzo degli da parte degli Enti territoriali. Secondo l’art. 17, comma 13, della Legge n. 196/2009 (legge di contabilità e finanza pubblica) sussiste, infatti, l’obbligo a carico del </w:t>
      </w:r>
      <w:r w:rsidRPr="00447ADB">
        <w:rPr>
          <w:rFonts w:ascii="Times New Roman" w:hAnsi="Times New Roman" w:cs="Times New Roman"/>
          <w:sz w:val="22"/>
          <w:szCs w:val="22"/>
        </w:rPr>
        <w:lastRenderedPageBreak/>
        <w:t>Ministro dell’economia e delle finanze di provvedere tempestivamente alla copertura dei maggiori oneri derivanti da sentenze della Corte Costituzionale recanti interpretazioni della normativa vigente.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Il Focus evidenzia quindi l’utilità di individuare e rimuovere le cause che determinano il fenomeno del progressivo accumulo di risorse non spese (avanzi di amministrazione) e la conseguente necessità di gestire il loro smaltimento, come pure sottolinea la necessità di una riflessione sul mantenimento del c.d. doppio binario di regole per le Amministrazioni territoriali, quello proveniente dal pareggio di bilancio e quello derivante dalla normativa contabile.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xml:space="preserve">Al riguardo nel corso di una audizione sui residui fiscali, tenutasi il 22 novembre 2017 in Commissione Bilancio della Camera, il Presidente dell’Ufficio Parlamentare di Bilancio, Giuseppe </w:t>
      </w:r>
      <w:proofErr w:type="spellStart"/>
      <w:r w:rsidRPr="00447ADB">
        <w:rPr>
          <w:rFonts w:ascii="Times New Roman" w:hAnsi="Times New Roman" w:cs="Times New Roman"/>
          <w:sz w:val="22"/>
          <w:szCs w:val="22"/>
        </w:rPr>
        <w:t>Pisauro</w:t>
      </w:r>
      <w:proofErr w:type="spellEnd"/>
      <w:r w:rsidRPr="00447ADB">
        <w:rPr>
          <w:rFonts w:ascii="Times New Roman" w:hAnsi="Times New Roman" w:cs="Times New Roman"/>
          <w:sz w:val="22"/>
          <w:szCs w:val="22"/>
        </w:rPr>
        <w:t xml:space="preserve">, ha altresì sottolineato la </w:t>
      </w:r>
      <w:proofErr w:type="spellStart"/>
      <w:r w:rsidRPr="00447ADB">
        <w:rPr>
          <w:rFonts w:ascii="Times New Roman" w:hAnsi="Times New Roman" w:cs="Times New Roman"/>
          <w:sz w:val="22"/>
          <w:szCs w:val="22"/>
        </w:rPr>
        <w:t>criticita</w:t>
      </w:r>
      <w:proofErr w:type="spellEnd"/>
      <w:r w:rsidRPr="00447ADB">
        <w:rPr>
          <w:rFonts w:ascii="Times New Roman" w:hAnsi="Times New Roman" w:cs="Times New Roman"/>
          <w:sz w:val="22"/>
          <w:szCs w:val="22"/>
        </w:rPr>
        <w:t xml:space="preserve">̀, derivante dall’attuale quadro delle regole contabili, della costante riduzione della spesa complessiva in conto capitale a partire dal 2010, in particolare al Centro-Nord. </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rispetto a quanto asserito dalla circolare del MEF n. 5/2018 è quindi intervenuta nuovamente la Corte Costituzionale con la successiva sentenza n. 101/2018, depositata il 17 maggio 2018 in cancelleria. Questa sentenza contiene tre dichiarazioni di illegittimità costituzionale di altrettante disposizioni della legge di</w:t>
      </w:r>
      <w:r w:rsidR="00612C28">
        <w:rPr>
          <w:rFonts w:ascii="Times New Roman" w:hAnsi="Times New Roman" w:cs="Times New Roman"/>
          <w:sz w:val="22"/>
          <w:szCs w:val="22"/>
        </w:rPr>
        <w:t xml:space="preserve"> </w:t>
      </w:r>
      <w:r w:rsidRPr="00447ADB">
        <w:rPr>
          <w:rFonts w:ascii="Times New Roman" w:hAnsi="Times New Roman" w:cs="Times New Roman"/>
          <w:sz w:val="22"/>
          <w:szCs w:val="22"/>
        </w:rPr>
        <w:t>Bilancio del 2017 (legge n. 232/2016), la prima delle quali ha effetto nei confronti di tutti gli enti territoriali. La Consulta ha bocciato l'art. 1, comma 466, della legge n. 232 del 2016 «</w:t>
      </w:r>
      <w:r w:rsidRPr="00447ADB">
        <w:rPr>
          <w:rFonts w:ascii="Times New Roman" w:hAnsi="Times New Roman" w:cs="Times New Roman"/>
          <w:i/>
          <w:sz w:val="22"/>
          <w:szCs w:val="22"/>
        </w:rPr>
        <w:t>nella parte in cui stabilisce che, a partire dal 2020, ai fini della determinazione dell'equilibrio del bilancio degli enti territoriali, le spese vincolate provenienti dai precedenti esercizi debbano trovare finanziamento nelle sole entrate di competenza</w:t>
      </w:r>
      <w:r w:rsidRPr="00447ADB">
        <w:rPr>
          <w:rFonts w:ascii="Times New Roman" w:hAnsi="Times New Roman" w:cs="Times New Roman"/>
          <w:sz w:val="22"/>
          <w:szCs w:val="22"/>
        </w:rPr>
        <w:t>». La stessa disposizione è stata dichiarata incostituzionale anche là dove «non prevede che l'inserimento dell'avanzo di amministrazione e del fondo pluriennale vincolato nei bilanci dei medesimi enti territoriali abbia effetti neutrali rispetto alla determinazione dell'equilibrio dell'esercizio di competenza».</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La sentenza precisa che l'incostituzionalità del comma 466 non ha effetti negativi sugli equilibri della finanza pubblica allargata poiché i cespiti inerenti al Fondo pluriennale vincolato e all'avanzo di amministrazione, se correttamente accertati, costituiscono risorse impiegabili sia direttamente che per liberare spazi finanziari di altri enti, attraverso le intese su base regionale. Al contrario, osservano i giudici delle leggi, la preclusione a</w:t>
      </w:r>
    </w:p>
    <w:p w:rsidR="00447ADB" w:rsidRPr="00447ADB" w:rsidRDefault="00447ADB" w:rsidP="00447ADB">
      <w:pPr>
        <w:jc w:val="both"/>
        <w:rPr>
          <w:rFonts w:ascii="Times New Roman" w:hAnsi="Times New Roman" w:cs="Times New Roman"/>
          <w:sz w:val="22"/>
          <w:szCs w:val="22"/>
        </w:rPr>
      </w:pPr>
      <w:proofErr w:type="gramStart"/>
      <w:r w:rsidRPr="00447ADB">
        <w:rPr>
          <w:rFonts w:ascii="Times New Roman" w:hAnsi="Times New Roman" w:cs="Times New Roman"/>
          <w:sz w:val="22"/>
          <w:szCs w:val="22"/>
        </w:rPr>
        <w:t>utilizzare</w:t>
      </w:r>
      <w:proofErr w:type="gramEnd"/>
      <w:r w:rsidRPr="00447ADB">
        <w:rPr>
          <w:rFonts w:ascii="Times New Roman" w:hAnsi="Times New Roman" w:cs="Times New Roman"/>
          <w:sz w:val="22"/>
          <w:szCs w:val="22"/>
        </w:rPr>
        <w:t xml:space="preserve"> l'avanzo e i fondi destinati a spese pluriennali muterebbe la sostanza costituzionale del pareggio di bilancio configurandolo come un «</w:t>
      </w:r>
      <w:r w:rsidRPr="00447ADB">
        <w:rPr>
          <w:rFonts w:ascii="Times New Roman" w:hAnsi="Times New Roman" w:cs="Times New Roman"/>
          <w:i/>
          <w:sz w:val="22"/>
          <w:szCs w:val="22"/>
        </w:rPr>
        <w:t>attivo strutturale inertizzato</w:t>
      </w:r>
      <w:r w:rsidRPr="00447ADB">
        <w:rPr>
          <w:rFonts w:ascii="Times New Roman" w:hAnsi="Times New Roman" w:cs="Times New Roman"/>
          <w:sz w:val="22"/>
          <w:szCs w:val="22"/>
        </w:rPr>
        <w:t>», cioè «</w:t>
      </w:r>
      <w:r w:rsidRPr="00447ADB">
        <w:rPr>
          <w:rFonts w:ascii="Times New Roman" w:hAnsi="Times New Roman" w:cs="Times New Roman"/>
          <w:i/>
          <w:sz w:val="22"/>
          <w:szCs w:val="22"/>
        </w:rPr>
        <w:t>inutilizzabile per le destinazioni già programmate e, in quanto tale, costituzionalmente non conforme agli articoli 81 e 97 della Costituzione</w:t>
      </w:r>
      <w:r w:rsidRPr="00447ADB">
        <w:rPr>
          <w:rFonts w:ascii="Times New Roman" w:hAnsi="Times New Roman" w:cs="Times New Roman"/>
          <w:sz w:val="22"/>
          <w:szCs w:val="22"/>
        </w:rPr>
        <w:t>». La</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Consulta ha altresì rimarcato l’importanza dei controlli sulla corretta determinazione dei risultati di amministrazione, già evidenziata con la precedente sentenza: gli avanzi di amministrazione «</w:t>
      </w:r>
      <w:r w:rsidRPr="00447ADB">
        <w:rPr>
          <w:rFonts w:ascii="Times New Roman" w:hAnsi="Times New Roman" w:cs="Times New Roman"/>
          <w:i/>
          <w:sz w:val="22"/>
          <w:szCs w:val="22"/>
        </w:rPr>
        <w:t>devono essere assoggettati a una rigorosa verifica in sede di rendiconto</w:t>
      </w:r>
      <w:r w:rsidRPr="00447ADB">
        <w:rPr>
          <w:rFonts w:ascii="Times New Roman" w:hAnsi="Times New Roman" w:cs="Times New Roman"/>
          <w:sz w:val="22"/>
          <w:szCs w:val="22"/>
        </w:rPr>
        <w:t>» e non vanno confusi con le disponibilità di cassa momentanee. «</w:t>
      </w:r>
      <w:r w:rsidRPr="00447ADB">
        <w:rPr>
          <w:rFonts w:ascii="Times New Roman" w:hAnsi="Times New Roman" w:cs="Times New Roman"/>
          <w:i/>
          <w:sz w:val="22"/>
          <w:szCs w:val="22"/>
        </w:rPr>
        <w:t>I saldi attivi di cassa, infatti, non sono di per sé sintomatici di sana e virtuosa amministrazione, in quanto legati a una serie di variabili negative, tra le quali spicca la possibile esistenza di debiti sommersi, in grado di dissimulare la reale situazione economico-finanziaria dell'ente</w:t>
      </w:r>
      <w:r w:rsidRPr="00447ADB">
        <w:rPr>
          <w:rFonts w:ascii="Times New Roman" w:hAnsi="Times New Roman" w:cs="Times New Roman"/>
          <w:sz w:val="22"/>
          <w:szCs w:val="22"/>
        </w:rPr>
        <w:t>».</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xml:space="preserve">La sentenza della Consulta n. 101/2018 essendo una pronuncia di accoglimento ha ovviamente effetti erga </w:t>
      </w:r>
      <w:proofErr w:type="spellStart"/>
      <w:r w:rsidRPr="00447ADB">
        <w:rPr>
          <w:rFonts w:ascii="Times New Roman" w:hAnsi="Times New Roman" w:cs="Times New Roman"/>
          <w:sz w:val="22"/>
          <w:szCs w:val="22"/>
        </w:rPr>
        <w:t>omnes</w:t>
      </w:r>
      <w:proofErr w:type="spellEnd"/>
      <w:r w:rsidRPr="00447ADB">
        <w:rPr>
          <w:rFonts w:ascii="Times New Roman" w:hAnsi="Times New Roman" w:cs="Times New Roman"/>
          <w:sz w:val="22"/>
          <w:szCs w:val="22"/>
        </w:rPr>
        <w:t>, dunque per tutti gli enti territoriali. Va sottolineato che la stessa richiama in modo esplicito e palesemente critico la circolare n. 5/2018 della Ragioneria generale dello Stato, laddove quest’ultima sostiene che gli strumenti previsti dal legislatore rappresentano un efficace mezzo di utilizzo e progressivo smaltimento dell'avanzo di amministrazione da parte degli enti territoriali, e di conseguenza, seppure</w:t>
      </w:r>
      <w:r w:rsidR="00612C28">
        <w:rPr>
          <w:rFonts w:ascii="Times New Roman" w:hAnsi="Times New Roman" w:cs="Times New Roman"/>
          <w:sz w:val="22"/>
          <w:szCs w:val="22"/>
        </w:rPr>
        <w:t xml:space="preserve"> </w:t>
      </w:r>
      <w:r w:rsidRPr="00447ADB">
        <w:rPr>
          <w:rFonts w:ascii="Times New Roman" w:hAnsi="Times New Roman" w:cs="Times New Roman"/>
          <w:sz w:val="22"/>
          <w:szCs w:val="22"/>
        </w:rPr>
        <w:t>indiretta, anche quanto indicato dall’Ufficio Parlamentare di Bilancio. Secondo la Corte costituzionale, invece, la predetta circolare viene a confermare l</w:t>
      </w:r>
      <w:proofErr w:type="gramStart"/>
      <w:r w:rsidRPr="00447ADB">
        <w:rPr>
          <w:rFonts w:ascii="Times New Roman" w:hAnsi="Times New Roman" w:cs="Times New Roman"/>
          <w:sz w:val="22"/>
          <w:szCs w:val="22"/>
        </w:rPr>
        <w:t>’“</w:t>
      </w:r>
      <w:proofErr w:type="gramEnd"/>
      <w:r w:rsidRPr="00447ADB">
        <w:rPr>
          <w:rFonts w:ascii="Times New Roman" w:hAnsi="Times New Roman" w:cs="Times New Roman"/>
          <w:i/>
          <w:sz w:val="22"/>
          <w:szCs w:val="22"/>
        </w:rPr>
        <w:t>inevitabile preclusione all’interpretazione costituzionalmente orie</w:t>
      </w:r>
      <w:r w:rsidRPr="00447ADB">
        <w:rPr>
          <w:rFonts w:ascii="Times New Roman" w:hAnsi="Times New Roman" w:cs="Times New Roman"/>
          <w:sz w:val="22"/>
          <w:szCs w:val="22"/>
        </w:rPr>
        <w:t>ntata” data dalla sua precedente giurisprudenza e gli effetti distorsivi dei tecnicismi contabili attualmente in essere. «</w:t>
      </w:r>
      <w:r w:rsidRPr="00447ADB">
        <w:rPr>
          <w:rFonts w:ascii="Times New Roman" w:hAnsi="Times New Roman" w:cs="Times New Roman"/>
          <w:i/>
          <w:sz w:val="22"/>
          <w:szCs w:val="22"/>
        </w:rPr>
        <w:t>A prescindere dal complesso e non di rado oscuro ordito normativo, in ordine al quale questa Corte ha già rilevato un deficit di trasparenza bisognoso di un tempestivo e definitivo superamento,</w:t>
      </w:r>
      <w:r w:rsidRPr="00447ADB">
        <w:rPr>
          <w:rFonts w:ascii="Times New Roman" w:hAnsi="Times New Roman" w:cs="Times New Roman"/>
          <w:sz w:val="22"/>
          <w:szCs w:val="22"/>
        </w:rPr>
        <w:t>” – si legge nel testo della sentenza n. 101 – “</w:t>
      </w:r>
      <w:r w:rsidRPr="00447ADB">
        <w:rPr>
          <w:rFonts w:ascii="Times New Roman" w:hAnsi="Times New Roman" w:cs="Times New Roman"/>
          <w:i/>
          <w:sz w:val="22"/>
          <w:szCs w:val="22"/>
        </w:rPr>
        <w:t xml:space="preserve">non v'è dubbio che la mancata previsione della "neutralità finanziaria" per tutte le partite di entrata e spesa di natura pluriennale derivanti da programmi, già perfezionati in termini di copertura negli esercizi precedenti, comporta un evidente vulnus per l'ente territoriale con riguardo sia al principio del pareggio di cui all'art. 81 </w:t>
      </w:r>
      <w:proofErr w:type="spellStart"/>
      <w:r w:rsidRPr="00447ADB">
        <w:rPr>
          <w:rFonts w:ascii="Times New Roman" w:hAnsi="Times New Roman" w:cs="Times New Roman"/>
          <w:i/>
          <w:sz w:val="22"/>
          <w:szCs w:val="22"/>
        </w:rPr>
        <w:t>Cost</w:t>
      </w:r>
      <w:proofErr w:type="spellEnd"/>
      <w:r w:rsidRPr="00447ADB">
        <w:rPr>
          <w:rFonts w:ascii="Times New Roman" w:hAnsi="Times New Roman" w:cs="Times New Roman"/>
          <w:i/>
          <w:sz w:val="22"/>
          <w:szCs w:val="22"/>
        </w:rPr>
        <w:t xml:space="preserve">., sia a quello dell'art. 97, primo comma, primo periodo, </w:t>
      </w:r>
      <w:proofErr w:type="spellStart"/>
      <w:r w:rsidRPr="00447ADB">
        <w:rPr>
          <w:rFonts w:ascii="Times New Roman" w:hAnsi="Times New Roman" w:cs="Times New Roman"/>
          <w:i/>
          <w:sz w:val="22"/>
          <w:szCs w:val="22"/>
        </w:rPr>
        <w:t>Cost</w:t>
      </w:r>
      <w:proofErr w:type="spellEnd"/>
      <w:r w:rsidRPr="00447ADB">
        <w:rPr>
          <w:rFonts w:ascii="Times New Roman" w:hAnsi="Times New Roman" w:cs="Times New Roman"/>
          <w:i/>
          <w:sz w:val="22"/>
          <w:szCs w:val="22"/>
        </w:rPr>
        <w:t>. (equilibrio individuale degli enti facenti parte della finanza pubblica allargata: sentenza n. 247 del 2017)</w:t>
      </w:r>
      <w:r w:rsidRPr="00447ADB">
        <w:rPr>
          <w:rFonts w:ascii="Times New Roman" w:hAnsi="Times New Roman" w:cs="Times New Roman"/>
          <w:sz w:val="22"/>
          <w:szCs w:val="22"/>
        </w:rPr>
        <w:t>».</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RILEVATO, per fini di completezza informativa, che le sanzioni per il mancato rispetto del saldo di finanza pubblica sono previste ai commi 475 e 476 dell’articolo 1 della legge Bilancio 2017, in attuazione delle disposizioni previste dall’articolo 9, comma 4, della legge n. 243 del 2012, con un trattamento differenziato per gli enti che non hanno rispettato il saldo di finanza pubblica, a seconda che il mancato rispetto sia uguale, inferiore o superiore al 3 per cento delle entrate finali.</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Il comma 475 elenca le sanzioni da comminare agli enti in caso di mancato conseguimento del saldo in misura uguale o superiore al 3 per cento delle entrate finali(accertamenti):</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a)</w:t>
      </w:r>
      <w:r w:rsidRPr="00447ADB">
        <w:rPr>
          <w:rFonts w:ascii="Times New Roman" w:hAnsi="Times New Roman" w:cs="Times New Roman"/>
          <w:sz w:val="22"/>
          <w:szCs w:val="22"/>
        </w:rPr>
        <w:tab/>
        <w:t>l’ente locale è assoggettato ad una riduzione del Fondo sperimentale di riequilibrio (città metropolitane e province) o del Fondo di solidarietà comunale (comuni) in misura pari all’importo corrispondente allo scostamento registrato. Le predette riduzioni assicurano il recupero previsto dal comma 2 dell’articolo 9 della legge n. 243 del 2012, nel caso in cui un ente, in sede di rendiconto di gestione, registri un valore negativo del saldo e sono applicate nel triennio successivo a quello dell’inadempienza in quote costanti. In caso di incapienza delle risorse o dei trasferimenti, per uno o più anni del triennio di riferimento, gli enti locali sono tenuti a versare all’entrata del bilancio dello Stato le somme residue di ciascuna quota annuale, entro l’anno di competenza delle medesime quote;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b)</w:t>
      </w:r>
      <w:r w:rsidRPr="00447ADB">
        <w:rPr>
          <w:rFonts w:ascii="Times New Roman" w:hAnsi="Times New Roman" w:cs="Times New Roman"/>
          <w:sz w:val="22"/>
          <w:szCs w:val="22"/>
        </w:rPr>
        <w:tab/>
        <w:t>nel triennio successivo la regione o la provincia autonoma è tenuta ad effettuare un versamento all’entrata del bilancio dello Stato;</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c)</w:t>
      </w:r>
      <w:r w:rsidRPr="00447ADB">
        <w:rPr>
          <w:rFonts w:ascii="Times New Roman" w:hAnsi="Times New Roman" w:cs="Times New Roman"/>
          <w:sz w:val="22"/>
          <w:szCs w:val="22"/>
        </w:rPr>
        <w:tab/>
        <w:t>nell’anno successivo a quello dell’inadempienza, l’ente non può impegnare spese correnti, per le regioni al netto delle spese per la sanità, in misura superiore all’importo dei corrispondenti impegni dell’anno precedente ridotti dell’1 per cento;</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d)</w:t>
      </w:r>
      <w:r w:rsidRPr="00447ADB">
        <w:rPr>
          <w:rFonts w:ascii="Times New Roman" w:hAnsi="Times New Roman" w:cs="Times New Roman"/>
          <w:sz w:val="22"/>
          <w:szCs w:val="22"/>
        </w:rPr>
        <w:tab/>
        <w:t>nell’anno successivo a quello dell’inadempienza, l’ente non può ricorrere all’indebitamento per gli investimenti;</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e)</w:t>
      </w:r>
      <w:r w:rsidRPr="00447ADB">
        <w:rPr>
          <w:rFonts w:ascii="Times New Roman" w:hAnsi="Times New Roman" w:cs="Times New Roman"/>
          <w:sz w:val="22"/>
          <w:szCs w:val="22"/>
        </w:rPr>
        <w:tab/>
        <w:t>nell’anno successivo a quello dell’inadempienza, l’ente non può procedere ad assunzioni di personale a qualsiasi titolo, con qualsivoglia tipologia contrattuale, ivi compresi i rapporti di collaborazione coordinata e continuativa e di somministrazione, anche con riferimento ai processi di stabilizzazione in atto;</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f)</w:t>
      </w:r>
      <w:r w:rsidRPr="00447ADB">
        <w:rPr>
          <w:rFonts w:ascii="Times New Roman" w:hAnsi="Times New Roman" w:cs="Times New Roman"/>
          <w:sz w:val="22"/>
          <w:szCs w:val="22"/>
        </w:rPr>
        <w:tab/>
        <w:t>nell’anno successivo a quello dell’inadempienza, il presidente, il sindaco e i componenti della giunta in carica nell’esercizio in cui è avvenuta la violazione sono tenuti a versare al bilancio dell’ente il 30 per cento delle indennità di funzione e dei gettoni di presenza spettanti nell’esercizio della violazione come rideterminati dall’ente medesimo. Tale importo è acquisito al bilancio dell’ente.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Il comma 476 elenca, invece, le sanzioni da comminare agli enti in caso di mancato rispetto del saldo in misura inferiore al 3 per cento degli accertamenti delle entrate finali dell’esercizio del mancato conseguimento del saldo. Pertanto, nell’anno successivo a quello dell’inadempienza:</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a)</w:t>
      </w:r>
      <w:r w:rsidRPr="00447ADB">
        <w:rPr>
          <w:rFonts w:ascii="Times New Roman" w:hAnsi="Times New Roman" w:cs="Times New Roman"/>
          <w:sz w:val="22"/>
          <w:szCs w:val="22"/>
        </w:rPr>
        <w:tab/>
        <w:t>si applica la stessa sanzione economica che viene comminata agli enti che conseguono il saldo in misura uguale o superiore al 3 per cento delle entrate finali (si vedano le precedenti lettere a) e b);</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b)</w:t>
      </w:r>
      <w:r w:rsidRPr="00447ADB">
        <w:rPr>
          <w:rFonts w:ascii="Times New Roman" w:hAnsi="Times New Roman" w:cs="Times New Roman"/>
          <w:sz w:val="22"/>
          <w:szCs w:val="22"/>
        </w:rPr>
        <w:tab/>
        <w:t>la sanzione del limite alle spese correnti viene comminata imponendo agli impegni di parte corrente, per le regioni al netto della sanità, un limite pari all’importo dei corrispondenti impegni dell’anno precedente (senza la riduzione, quindi, dell’1 per cento come previsto dalla precedente lettera c);</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c)</w:t>
      </w:r>
      <w:r w:rsidRPr="00447ADB">
        <w:rPr>
          <w:rFonts w:ascii="Times New Roman" w:hAnsi="Times New Roman" w:cs="Times New Roman"/>
          <w:sz w:val="22"/>
          <w:szCs w:val="22"/>
        </w:rPr>
        <w:tab/>
        <w:t>si applica la stessa sanzione del blocco del ricorso all’indebitamento per investimenti che viene comminata agli enti che conseguono il saldo in misura uguale o superiore al 3 per cento delle entrate finali (si veda la precedente lettera d);</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d)</w:t>
      </w:r>
      <w:r w:rsidRPr="00447ADB">
        <w:rPr>
          <w:rFonts w:ascii="Times New Roman" w:hAnsi="Times New Roman" w:cs="Times New Roman"/>
          <w:sz w:val="22"/>
          <w:szCs w:val="22"/>
        </w:rPr>
        <w:tab/>
        <w:t>la sanzione del divieto di assunzione di personale a qualsiasi titolo è applicata solo per il personale a tempo indeterminato (e non anche per il personale a tempo determinato come previsto dalla precedente lettera e);</w:t>
      </w:r>
    </w:p>
    <w:p w:rsid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e)</w:t>
      </w:r>
      <w:r w:rsidRPr="00447ADB">
        <w:rPr>
          <w:rFonts w:ascii="Times New Roman" w:hAnsi="Times New Roman" w:cs="Times New Roman"/>
          <w:sz w:val="22"/>
          <w:szCs w:val="22"/>
        </w:rPr>
        <w:tab/>
        <w:t>la sanzione della rideterminazione delle indennità di funzione e dei gettoni di presenza agli amministratori è applicata nei confronti del presidente, del sindaco e dei componenti della giunta in carica nell’esercizio in cui è avvenuta la violazione versando al bilancio dell’ente il 10 per cento delle loro indennità di funzione e dei gettoni percepiti nell’anno in cui è avvenuta la violazione.</w:t>
      </w:r>
    </w:p>
    <w:p w:rsidR="00612C28" w:rsidRDefault="00612C28" w:rsidP="00447ADB">
      <w:pPr>
        <w:jc w:val="both"/>
        <w:rPr>
          <w:rFonts w:ascii="Times New Roman" w:hAnsi="Times New Roman" w:cs="Times New Roman"/>
          <w:sz w:val="22"/>
          <w:szCs w:val="22"/>
        </w:rPr>
      </w:pPr>
    </w:p>
    <w:p w:rsidR="00612C28" w:rsidRPr="00447ADB" w:rsidRDefault="00612C28" w:rsidP="00447ADB">
      <w:pPr>
        <w:jc w:val="both"/>
        <w:rPr>
          <w:rFonts w:ascii="Times New Roman" w:hAnsi="Times New Roman" w:cs="Times New Roman"/>
          <w:sz w:val="22"/>
          <w:szCs w:val="22"/>
        </w:rPr>
      </w:pPr>
      <w:r>
        <w:rPr>
          <w:rFonts w:ascii="Times New Roman" w:hAnsi="Times New Roman" w:cs="Times New Roman"/>
          <w:sz w:val="22"/>
          <w:szCs w:val="22"/>
        </w:rPr>
        <w:t>CONSIDERATO CHE:</w:t>
      </w:r>
    </w:p>
    <w:p w:rsidR="00447ADB" w:rsidRPr="00447ADB" w:rsidRDefault="00612C28" w:rsidP="00447ADB">
      <w:pPr>
        <w:jc w:val="both"/>
        <w:rPr>
          <w:rFonts w:ascii="Times New Roman" w:hAnsi="Times New Roman" w:cs="Times New Roman"/>
          <w:sz w:val="22"/>
          <w:szCs w:val="22"/>
        </w:rPr>
      </w:pPr>
      <w:r>
        <w:rPr>
          <w:rFonts w:ascii="Times New Roman" w:hAnsi="Times New Roman" w:cs="Times New Roman"/>
          <w:sz w:val="22"/>
          <w:szCs w:val="22"/>
        </w:rPr>
        <w:t>- n</w:t>
      </w:r>
      <w:r w:rsidR="00447ADB" w:rsidRPr="00447ADB">
        <w:rPr>
          <w:rFonts w:ascii="Times New Roman" w:hAnsi="Times New Roman" w:cs="Times New Roman"/>
          <w:sz w:val="22"/>
          <w:szCs w:val="22"/>
        </w:rPr>
        <w:t>el timore di incorrere in queste sanzioni, che incidono notevolmente sulla gestione dell’ente, gli enti</w:t>
      </w:r>
    </w:p>
    <w:p w:rsidR="00447ADB" w:rsidRPr="00447ADB" w:rsidRDefault="00447ADB" w:rsidP="00447ADB">
      <w:pPr>
        <w:jc w:val="both"/>
        <w:rPr>
          <w:rFonts w:ascii="Times New Roman" w:hAnsi="Times New Roman" w:cs="Times New Roman"/>
          <w:sz w:val="22"/>
          <w:szCs w:val="22"/>
        </w:rPr>
      </w:pPr>
      <w:proofErr w:type="gramStart"/>
      <w:r w:rsidRPr="00447ADB">
        <w:rPr>
          <w:rFonts w:ascii="Times New Roman" w:hAnsi="Times New Roman" w:cs="Times New Roman"/>
          <w:sz w:val="22"/>
          <w:szCs w:val="22"/>
        </w:rPr>
        <w:t>territoriali</w:t>
      </w:r>
      <w:proofErr w:type="gramEnd"/>
      <w:r w:rsidRPr="00447ADB">
        <w:rPr>
          <w:rFonts w:ascii="Times New Roman" w:hAnsi="Times New Roman" w:cs="Times New Roman"/>
          <w:sz w:val="22"/>
          <w:szCs w:val="22"/>
        </w:rPr>
        <w:t xml:space="preserve"> nel corso di questi anni hanno rispettato fin troppo – si può dire – tali regole (fenomeno del c.d. </w:t>
      </w:r>
      <w:proofErr w:type="spellStart"/>
      <w:r w:rsidRPr="00447ADB">
        <w:rPr>
          <w:rFonts w:ascii="Times New Roman" w:hAnsi="Times New Roman" w:cs="Times New Roman"/>
          <w:sz w:val="22"/>
          <w:szCs w:val="22"/>
        </w:rPr>
        <w:t>overshooting</w:t>
      </w:r>
      <w:proofErr w:type="spellEnd"/>
      <w:r w:rsidRPr="00447ADB">
        <w:rPr>
          <w:rFonts w:ascii="Times New Roman" w:hAnsi="Times New Roman" w:cs="Times New Roman"/>
          <w:sz w:val="22"/>
          <w:szCs w:val="22"/>
        </w:rPr>
        <w:t>). La stessa Corte dei Conti, Sezione Autonomie, nella delibera n. 4/2018, dal titolo “Andamenti</w:t>
      </w:r>
    </w:p>
    <w:p w:rsidR="00447ADB" w:rsidRPr="00447ADB" w:rsidRDefault="00447ADB" w:rsidP="00447ADB">
      <w:pPr>
        <w:jc w:val="both"/>
        <w:rPr>
          <w:rFonts w:ascii="Times New Roman" w:hAnsi="Times New Roman" w:cs="Times New Roman"/>
          <w:sz w:val="22"/>
          <w:szCs w:val="22"/>
        </w:rPr>
      </w:pPr>
      <w:proofErr w:type="gramStart"/>
      <w:r w:rsidRPr="00447ADB">
        <w:rPr>
          <w:rFonts w:ascii="Times New Roman" w:hAnsi="Times New Roman" w:cs="Times New Roman"/>
          <w:sz w:val="22"/>
          <w:szCs w:val="22"/>
        </w:rPr>
        <w:t>della</w:t>
      </w:r>
      <w:proofErr w:type="gramEnd"/>
      <w:r w:rsidRPr="00447ADB">
        <w:rPr>
          <w:rFonts w:ascii="Times New Roman" w:hAnsi="Times New Roman" w:cs="Times New Roman"/>
          <w:sz w:val="22"/>
          <w:szCs w:val="22"/>
        </w:rPr>
        <w:t xml:space="preserve"> gestione finanziaria degli Enti locali nel primo anno di applicazione della contabilità armonizzata”,</w:t>
      </w:r>
      <w:r w:rsidR="00612C28">
        <w:rPr>
          <w:rFonts w:ascii="Times New Roman" w:hAnsi="Times New Roman" w:cs="Times New Roman"/>
          <w:sz w:val="22"/>
          <w:szCs w:val="22"/>
        </w:rPr>
        <w:t xml:space="preserve"> </w:t>
      </w:r>
      <w:r w:rsidRPr="00447ADB">
        <w:rPr>
          <w:rFonts w:ascii="Times New Roman" w:hAnsi="Times New Roman" w:cs="Times New Roman"/>
          <w:sz w:val="22"/>
          <w:szCs w:val="22"/>
        </w:rPr>
        <w:t>nelle conclusioni del paragrafo dedicato al pareggio di bilancio per il comparto Comuni, sulla base delle analisi svolte su 7.210 Comuni (97% dei Comuni), evidenzia “anche nel 2016 il fenomeno dell’eccesso di risparmio consistente nella formazione di un margine finanziario inutilizzato rispetto al valore obiettivo per il 2016 del saldo finale di competenza”. Il che significa che in termini di saldo i Comuni hanno contribuito al conseguimento dell'obiettivo assegnato e quindi concorso al risanamento del Bilancio nazionale in misura addirittura maggiore di quanto richiesto dalle manovre di Finanza pubblica. Ne è risultata penalizzata in</w:t>
      </w:r>
      <w:r w:rsidR="00612C28">
        <w:rPr>
          <w:rFonts w:ascii="Times New Roman" w:hAnsi="Times New Roman" w:cs="Times New Roman"/>
          <w:sz w:val="22"/>
          <w:szCs w:val="22"/>
        </w:rPr>
        <w:t xml:space="preserve"> </w:t>
      </w:r>
      <w:r w:rsidRPr="00447ADB">
        <w:rPr>
          <w:rFonts w:ascii="Times New Roman" w:hAnsi="Times New Roman" w:cs="Times New Roman"/>
          <w:sz w:val="22"/>
          <w:szCs w:val="22"/>
        </w:rPr>
        <w:t xml:space="preserve">modo particolare la spesa per investimenti, il che significa che con le varie manovre si è, di fatto, </w:t>
      </w:r>
      <w:r w:rsidRPr="00447ADB">
        <w:rPr>
          <w:rFonts w:ascii="Times New Roman" w:hAnsi="Times New Roman" w:cs="Times New Roman"/>
          <w:sz w:val="22"/>
          <w:szCs w:val="22"/>
        </w:rPr>
        <w:lastRenderedPageBreak/>
        <w:t xml:space="preserve">contraddetto “il principio di </w:t>
      </w:r>
      <w:proofErr w:type="spellStart"/>
      <w:r w:rsidRPr="00447ADB">
        <w:rPr>
          <w:rFonts w:ascii="Times New Roman" w:hAnsi="Times New Roman" w:cs="Times New Roman"/>
          <w:sz w:val="22"/>
          <w:szCs w:val="22"/>
        </w:rPr>
        <w:t>anticiclicità</w:t>
      </w:r>
      <w:proofErr w:type="spellEnd"/>
      <w:r w:rsidRPr="00447ADB">
        <w:rPr>
          <w:rFonts w:ascii="Times New Roman" w:hAnsi="Times New Roman" w:cs="Times New Roman"/>
          <w:sz w:val="22"/>
          <w:szCs w:val="22"/>
        </w:rPr>
        <w:t xml:space="preserve"> delle politiche di bilancio introdotto dal nuovo art. 81, primo comma, </w:t>
      </w:r>
      <w:proofErr w:type="spellStart"/>
      <w:proofErr w:type="gramStart"/>
      <w:r w:rsidRPr="00447ADB">
        <w:rPr>
          <w:rFonts w:ascii="Times New Roman" w:hAnsi="Times New Roman" w:cs="Times New Roman"/>
          <w:sz w:val="22"/>
          <w:szCs w:val="22"/>
        </w:rPr>
        <w:t>Cost</w:t>
      </w:r>
      <w:proofErr w:type="spellEnd"/>
      <w:r w:rsidRPr="00447ADB">
        <w:rPr>
          <w:rFonts w:ascii="Times New Roman" w:hAnsi="Times New Roman" w:cs="Times New Roman"/>
          <w:sz w:val="22"/>
          <w:szCs w:val="22"/>
        </w:rPr>
        <w:t>.,</w:t>
      </w:r>
      <w:proofErr w:type="gramEnd"/>
      <w:r w:rsidRPr="00447ADB">
        <w:rPr>
          <w:rFonts w:ascii="Times New Roman" w:hAnsi="Times New Roman" w:cs="Times New Roman"/>
          <w:sz w:val="22"/>
          <w:szCs w:val="22"/>
        </w:rPr>
        <w:t xml:space="preserve"> poiché per contrastare le fasi avverse del ciclo economico non potrebbero essere impiegate nemmeno le risorse già disponibili per gli investimenti” (sentenza Corte costituzionale n. 101/2018).</w:t>
      </w:r>
    </w:p>
    <w:p w:rsidR="00447ADB" w:rsidRPr="00447ADB" w:rsidRDefault="00447ADB" w:rsidP="00447ADB">
      <w:pPr>
        <w:jc w:val="both"/>
        <w:rPr>
          <w:rFonts w:ascii="Times New Roman" w:hAnsi="Times New Roman" w:cs="Times New Roman"/>
          <w:sz w:val="22"/>
          <w:szCs w:val="22"/>
        </w:rPr>
      </w:pPr>
    </w:p>
    <w:p w:rsidR="00447ADB" w:rsidRPr="00447ADB" w:rsidRDefault="00612C28" w:rsidP="00447ADB">
      <w:pPr>
        <w:jc w:val="both"/>
        <w:rPr>
          <w:rFonts w:ascii="Times New Roman" w:hAnsi="Times New Roman" w:cs="Times New Roman"/>
          <w:sz w:val="22"/>
          <w:szCs w:val="22"/>
        </w:rPr>
      </w:pPr>
      <w:r>
        <w:rPr>
          <w:rFonts w:ascii="Times New Roman" w:hAnsi="Times New Roman" w:cs="Times New Roman"/>
          <w:sz w:val="22"/>
          <w:szCs w:val="22"/>
        </w:rPr>
        <w:t>PRESO ATTO</w:t>
      </w:r>
      <w:r w:rsidR="00447ADB" w:rsidRPr="00447ADB">
        <w:rPr>
          <w:rFonts w:ascii="Times New Roman" w:hAnsi="Times New Roman" w:cs="Times New Roman"/>
          <w:sz w:val="22"/>
          <w:szCs w:val="22"/>
        </w:rPr>
        <w:t xml:space="preserve"> CHE:</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w:t>
      </w:r>
      <w:r w:rsidRPr="00447ADB">
        <w:rPr>
          <w:rFonts w:ascii="Times New Roman" w:hAnsi="Times New Roman" w:cs="Times New Roman"/>
          <w:sz w:val="22"/>
          <w:szCs w:val="22"/>
        </w:rPr>
        <w:tab/>
        <w:t xml:space="preserve">è stato successivamente pubblicato il decreto del Ministero dell’Economia e delle Finanze n. 182944 del 23 luglio 2018 concernente il monitoraggio 2018 del saldo di finanza pubblica, di cui al comma 466 dell’art. 1 della legge 11 dicembre 2016, n. 232 (legge di bilancio 2017), oggetto della dichiarazione di parziale illegittimità costituzionale nella sentenza n. 101/2018 della Corte costituzionale. </w:t>
      </w: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w:t>
      </w:r>
      <w:r w:rsidRPr="00447ADB">
        <w:rPr>
          <w:rFonts w:ascii="Times New Roman" w:hAnsi="Times New Roman" w:cs="Times New Roman"/>
          <w:sz w:val="22"/>
          <w:szCs w:val="22"/>
        </w:rPr>
        <w:tab/>
        <w:t>a commento di tale decreto è intervenuta una nota dell’IFEL, Fondazione dell'ANCI, del 24 luglio scorso luglio scorso (“Pareggio di bilancio 2018. Decreto monitoraggio saldo”), a commento del recente decreto del MEF del 23 luglio 2018, che spiega: «Il decreto affronta nelle premesse anche la questione relativa alle sentenze della Corte Costituzionale (n. 247 del 2017 e n. 101 del 2018) che hanno dato un’interpretazione costituzionalmente orientata dell’articolo 9 della legge n. 243 del 2012, in base alla quale l’avanzo di amministrazione e il Fondo pluriennale vincolato non possono essere limitati nel loro utilizzo, in quanto “</w:t>
      </w:r>
      <w:r w:rsidRPr="00447ADB">
        <w:rPr>
          <w:rFonts w:ascii="Times New Roman" w:hAnsi="Times New Roman" w:cs="Times New Roman"/>
          <w:i/>
          <w:sz w:val="22"/>
          <w:szCs w:val="22"/>
        </w:rPr>
        <w:t>l’avanzo di amministrazione, una volta accertato nelle forme di legge è nella disponibilità dell’ente che lo realizza</w:t>
      </w:r>
      <w:r w:rsidRPr="00447ADB">
        <w:rPr>
          <w:rFonts w:ascii="Times New Roman" w:hAnsi="Times New Roman" w:cs="Times New Roman"/>
          <w:sz w:val="22"/>
          <w:szCs w:val="22"/>
        </w:rPr>
        <w:t>”». Che l’assetto normativo in materia è già mutato per effetto delle citate sentenze della Corte costituzionale senza necessità di un intervento legislativo di adeguamento (necessario e posto a carico del Ministero dell’Economia e delle Finanze dall’art. 17, comma 13, della legge n. 196/2009, al solo fine di assicurare le eventuali coperture finanziarie conseguenti all’attuazione delle citate sentenze) è confermato da IFEL quando scrive che «anche per ciò che riguarda il 2018, sarà ben difficile applicare le norme sanzionatorie degli eventuali sforamenti del saldo di competenza basate su una normativa primaria definita di fatto illegittima dalla Corte Costituzionale». Sotto questo profilo, IFEL segnala anche che le premesse del decreto, da essa suggerite ed accolte dal MEF, mirano «a rafforzare il carattere conoscitivo del monitoraggio» e conclude: «ci dobbiamo attendere dalla legge di bilancio 2019 le indicazioni per l’abbandono delle regole finanziarie aggiuntive, nonché per un sostanziale ripensamento sull’applicabilità delle sanzioni relative agli eventuali sforamenti del saldo 2018». - l’impiego dell’avanzo libero in Bilancio in questo periodo dell’esercizio finanziario per realizzare investimenti difficilmente si tradurrà in pagamento effettivo entro il corrente anno e dunque non risulterebbe necessaria la ricerca di eventuali coperture finanziarie da parte del Mef al fine di assicurare il rispetto degli obiettivi di finanza pubblica fissati per il 2018, sulla base degli impegni assunti in sede europea.</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RILEVATO CHE:</w:t>
      </w:r>
    </w:p>
    <w:p w:rsidR="00447ADB" w:rsidRPr="00447ADB" w:rsidRDefault="00447ADB" w:rsidP="00447ADB">
      <w:pPr>
        <w:jc w:val="both"/>
        <w:rPr>
          <w:rFonts w:ascii="Times New Roman" w:hAnsi="Times New Roman" w:cs="Times New Roman"/>
          <w:sz w:val="22"/>
          <w:szCs w:val="22"/>
        </w:rPr>
      </w:pPr>
      <w:r>
        <w:rPr>
          <w:rFonts w:ascii="Times New Roman" w:hAnsi="Times New Roman" w:cs="Times New Roman"/>
          <w:sz w:val="22"/>
          <w:szCs w:val="22"/>
        </w:rPr>
        <w:t xml:space="preserve">- </w:t>
      </w:r>
      <w:r w:rsidRPr="00447ADB">
        <w:rPr>
          <w:rFonts w:ascii="Times New Roman" w:hAnsi="Times New Roman" w:cs="Times New Roman"/>
          <w:sz w:val="22"/>
          <w:szCs w:val="22"/>
        </w:rPr>
        <w:t xml:space="preserve">la Provincia Autonoma di Bolzano e anche la Regione Friuli Venezia Giulia hanno approvato delle norme </w:t>
      </w:r>
      <w:proofErr w:type="spellStart"/>
      <w:r w:rsidRPr="00447ADB">
        <w:rPr>
          <w:rFonts w:ascii="Times New Roman" w:hAnsi="Times New Roman" w:cs="Times New Roman"/>
          <w:sz w:val="22"/>
          <w:szCs w:val="22"/>
        </w:rPr>
        <w:t>adeguatrici</w:t>
      </w:r>
      <w:proofErr w:type="spellEnd"/>
      <w:r w:rsidRPr="00447ADB">
        <w:rPr>
          <w:rFonts w:ascii="Times New Roman" w:hAnsi="Times New Roman" w:cs="Times New Roman"/>
          <w:sz w:val="22"/>
          <w:szCs w:val="22"/>
        </w:rPr>
        <w:t xml:space="preserve"> dell’art. 9, comma 1-bis, della legge 24 dicembre 2012 n. 243 e dell’art. 1, comma 466, della legge 11 dicembre 2016 n. 232 alla interpretazione delle sentenze della Corte Costituzionale n. 247/2017 e n. 101/2018, secondo cui l’avanzo di amministrazione, applicato al bilancio di esercizio, rientra tra le entrate finali rilevanti ai fini dell’equilibrio di bilancio, sia della Regione, che degli Enti locali territoriali. </w:t>
      </w:r>
    </w:p>
    <w:p w:rsidR="00447ADB" w:rsidRPr="00447ADB" w:rsidRDefault="00447ADB" w:rsidP="00447ADB">
      <w:pPr>
        <w:jc w:val="both"/>
        <w:rPr>
          <w:rFonts w:ascii="Times New Roman" w:hAnsi="Times New Roman" w:cs="Times New Roman"/>
          <w:sz w:val="22"/>
          <w:szCs w:val="22"/>
        </w:rPr>
      </w:pPr>
      <w:r>
        <w:rPr>
          <w:rFonts w:ascii="Times New Roman" w:hAnsi="Times New Roman" w:cs="Times New Roman"/>
          <w:sz w:val="22"/>
          <w:szCs w:val="22"/>
        </w:rPr>
        <w:t xml:space="preserve">- </w:t>
      </w:r>
      <w:r w:rsidR="00612C28">
        <w:rPr>
          <w:rFonts w:ascii="Times New Roman" w:hAnsi="Times New Roman" w:cs="Times New Roman"/>
          <w:sz w:val="22"/>
          <w:szCs w:val="22"/>
        </w:rPr>
        <w:t>d</w:t>
      </w:r>
      <w:r w:rsidRPr="00447ADB">
        <w:rPr>
          <w:rFonts w:ascii="Times New Roman" w:hAnsi="Times New Roman" w:cs="Times New Roman"/>
          <w:sz w:val="22"/>
          <w:szCs w:val="22"/>
        </w:rPr>
        <w:t>ette norme (rispettivamente l’art. 3 della L.P. 15/05/2018 n. 7 pubblicata nel B.U. Trentino Alto-Adige del 24/05/2018 e l’art. 1, commi 2 e 3, della L.R. 9/08/2018, n. 20, del Friuli Venezia Giulia) non s</w:t>
      </w:r>
      <w:r>
        <w:rPr>
          <w:rFonts w:ascii="Times New Roman" w:hAnsi="Times New Roman" w:cs="Times New Roman"/>
          <w:sz w:val="22"/>
          <w:szCs w:val="22"/>
        </w:rPr>
        <w:t>ono state impugnate dal Governo.</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xml:space="preserve">RITENUTO, alla luce dell’assetto normativo quale risulta dalle decisioni della Corte Costituzionale </w:t>
      </w:r>
      <w:proofErr w:type="spellStart"/>
      <w:r w:rsidRPr="00447ADB">
        <w:rPr>
          <w:rFonts w:ascii="Times New Roman" w:hAnsi="Times New Roman" w:cs="Times New Roman"/>
          <w:sz w:val="22"/>
          <w:szCs w:val="22"/>
        </w:rPr>
        <w:t>nn</w:t>
      </w:r>
      <w:proofErr w:type="spellEnd"/>
      <w:r w:rsidRPr="00447ADB">
        <w:rPr>
          <w:rFonts w:ascii="Times New Roman" w:hAnsi="Times New Roman" w:cs="Times New Roman"/>
          <w:sz w:val="22"/>
          <w:szCs w:val="22"/>
        </w:rPr>
        <w:t xml:space="preserve">. 247/2017 e 101/2018, che gli enti locali possono senz’altro applicare l’avanzo accertato nel rendiconto di gestione nel rispetto del pareggio di bilancio ed hanno certamente titolo per sostenere la </w:t>
      </w:r>
      <w:proofErr w:type="spellStart"/>
      <w:r w:rsidRPr="00447ADB">
        <w:rPr>
          <w:rFonts w:ascii="Times New Roman" w:hAnsi="Times New Roman" w:cs="Times New Roman"/>
          <w:sz w:val="22"/>
          <w:szCs w:val="22"/>
        </w:rPr>
        <w:t>legittimita</w:t>
      </w:r>
      <w:proofErr w:type="spellEnd"/>
      <w:r w:rsidRPr="00447ADB">
        <w:rPr>
          <w:rFonts w:ascii="Times New Roman" w:hAnsi="Times New Roman" w:cs="Times New Roman"/>
          <w:sz w:val="22"/>
          <w:szCs w:val="22"/>
        </w:rPr>
        <w:t xml:space="preserve">̀ di questa scelta, contestando davanti al Tar per violazione di legge l'eventuale applicazione delle sanzioni, tanto </w:t>
      </w:r>
      <w:proofErr w:type="spellStart"/>
      <w:r w:rsidRPr="00447ADB">
        <w:rPr>
          <w:rFonts w:ascii="Times New Roman" w:hAnsi="Times New Roman" w:cs="Times New Roman"/>
          <w:sz w:val="22"/>
          <w:szCs w:val="22"/>
        </w:rPr>
        <w:t>piu</w:t>
      </w:r>
      <w:proofErr w:type="spellEnd"/>
      <w:r w:rsidRPr="00447ADB">
        <w:rPr>
          <w:rFonts w:ascii="Times New Roman" w:hAnsi="Times New Roman" w:cs="Times New Roman"/>
          <w:sz w:val="22"/>
          <w:szCs w:val="22"/>
        </w:rPr>
        <w:t xml:space="preserve">̀ se l’applicazione dell’avanzo fosse necessaria per far fronte a spese non previste, urgenti e indifferibili. Così come hanno titolo a contestare ogni eventuale ipotesi di addebito di </w:t>
      </w:r>
      <w:proofErr w:type="spellStart"/>
      <w:r w:rsidRPr="00447ADB">
        <w:rPr>
          <w:rFonts w:ascii="Times New Roman" w:hAnsi="Times New Roman" w:cs="Times New Roman"/>
          <w:sz w:val="22"/>
          <w:szCs w:val="22"/>
        </w:rPr>
        <w:t>responsabilita</w:t>
      </w:r>
      <w:proofErr w:type="spellEnd"/>
      <w:r w:rsidRPr="00447ADB">
        <w:rPr>
          <w:rFonts w:ascii="Times New Roman" w:hAnsi="Times New Roman" w:cs="Times New Roman"/>
          <w:sz w:val="22"/>
          <w:szCs w:val="22"/>
        </w:rPr>
        <w:t xml:space="preserve">̀ erariale in quanto l’assetto normativo che scaturisce dalla giurisprudenza della Corte Costituzionale elimina in radice l’elemento psicologico del dolo e della colpa grave. </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sidRPr="00447ADB">
        <w:rPr>
          <w:rFonts w:ascii="Times New Roman" w:hAnsi="Times New Roman" w:cs="Times New Roman"/>
          <w:sz w:val="22"/>
          <w:szCs w:val="22"/>
        </w:rPr>
        <w:t xml:space="preserve">RILEVATO altresì che la via tracciata dalla Corte costituzionale consente il rilancio degli investimenti degli enti locali, innescando un prezioso volano per la crescita dell'economia reale, dell’occupazione e delle entrate fiscali, considerato che a causa delle manovre di finanza pubblica, susseguitesi a partire del D.L. n. 78/2010, vi è stata una forte e costante flessione della spesa in conto capitale degli enti locali. Uno studio pubblicato nel settembre 2017 da </w:t>
      </w:r>
      <w:proofErr w:type="spellStart"/>
      <w:r w:rsidRPr="00447ADB">
        <w:rPr>
          <w:rFonts w:ascii="Times New Roman" w:hAnsi="Times New Roman" w:cs="Times New Roman"/>
          <w:sz w:val="22"/>
          <w:szCs w:val="22"/>
        </w:rPr>
        <w:t>Anciveneto</w:t>
      </w:r>
      <w:proofErr w:type="spellEnd"/>
      <w:r w:rsidRPr="00447ADB">
        <w:rPr>
          <w:rFonts w:ascii="Times New Roman" w:hAnsi="Times New Roman" w:cs="Times New Roman"/>
          <w:sz w:val="22"/>
          <w:szCs w:val="22"/>
        </w:rPr>
        <w:t xml:space="preserve">, in collaborazione con l’Università di Venezia-Dipartimento di </w:t>
      </w:r>
      <w:r w:rsidRPr="00447ADB">
        <w:rPr>
          <w:rFonts w:ascii="Times New Roman" w:hAnsi="Times New Roman" w:cs="Times New Roman"/>
          <w:sz w:val="22"/>
          <w:szCs w:val="22"/>
        </w:rPr>
        <w:lastRenderedPageBreak/>
        <w:t xml:space="preserve">Economia e </w:t>
      </w:r>
      <w:proofErr w:type="spellStart"/>
      <w:r w:rsidRPr="00447ADB">
        <w:rPr>
          <w:rFonts w:ascii="Times New Roman" w:hAnsi="Times New Roman" w:cs="Times New Roman"/>
          <w:sz w:val="22"/>
          <w:szCs w:val="22"/>
        </w:rPr>
        <w:t>Unioncamere</w:t>
      </w:r>
      <w:proofErr w:type="spellEnd"/>
      <w:r w:rsidRPr="00447ADB">
        <w:rPr>
          <w:rFonts w:ascii="Times New Roman" w:hAnsi="Times New Roman" w:cs="Times New Roman"/>
          <w:sz w:val="22"/>
          <w:szCs w:val="22"/>
        </w:rPr>
        <w:t xml:space="preserve"> Veneto, avente ad oggetto ‘Investimenti e avanzi di amministrazione dei Comuni del Veneto’, ha concluso che il pieno utilizzo degli avanzi di amministrazione dei Comuni veneti avrebbe come ricaduta “un aumento del PIL regionale tra lo 0,5% e lo 0,7%, un aumento delle unità di lavoro pari a circa 13.400 unità e un aumento delle entrate fiscale della PA per 358 milioni di euro”.</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center"/>
        <w:rPr>
          <w:rFonts w:ascii="Times New Roman" w:hAnsi="Times New Roman" w:cs="Times New Roman"/>
          <w:sz w:val="22"/>
          <w:szCs w:val="22"/>
        </w:rPr>
      </w:pPr>
      <w:r w:rsidRPr="00447ADB">
        <w:rPr>
          <w:rFonts w:ascii="Times New Roman" w:hAnsi="Times New Roman" w:cs="Times New Roman"/>
          <w:sz w:val="22"/>
          <w:szCs w:val="22"/>
        </w:rPr>
        <w:t>A FRONTE DI QUANTO SIN QUI ESPOSTO, ILLUSTRATO E ARGOMENTATO</w:t>
      </w:r>
      <w:r>
        <w:rPr>
          <w:rFonts w:ascii="Times New Roman" w:hAnsi="Times New Roman" w:cs="Times New Roman"/>
          <w:sz w:val="22"/>
          <w:szCs w:val="22"/>
        </w:rPr>
        <w:t xml:space="preserve"> </w:t>
      </w:r>
      <w:r w:rsidRPr="00447ADB">
        <w:rPr>
          <w:rFonts w:ascii="Times New Roman" w:hAnsi="Times New Roman" w:cs="Times New Roman"/>
          <w:sz w:val="22"/>
          <w:szCs w:val="22"/>
        </w:rPr>
        <w:t>PROPONE</w:t>
      </w:r>
    </w:p>
    <w:p w:rsidR="00447ADB" w:rsidRPr="00447ADB" w:rsidRDefault="00447ADB"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r>
        <w:rPr>
          <w:rFonts w:ascii="Times New Roman" w:hAnsi="Times New Roman" w:cs="Times New Roman"/>
          <w:sz w:val="22"/>
          <w:szCs w:val="22"/>
        </w:rPr>
        <w:t xml:space="preserve">- </w:t>
      </w:r>
      <w:r w:rsidRPr="00447ADB">
        <w:rPr>
          <w:rFonts w:ascii="Times New Roman" w:hAnsi="Times New Roman" w:cs="Times New Roman"/>
          <w:sz w:val="22"/>
          <w:szCs w:val="22"/>
        </w:rPr>
        <w:t xml:space="preserve">DI APPROVARE IL PRESENTE ORDINE DEL GIORNO E, PER L’EFFETTO, IMPEGNARE il signor Sindaco, l’Assessore al Bilancio e la Giunta comunale a presentare </w:t>
      </w:r>
      <w:r w:rsidR="00612C28">
        <w:rPr>
          <w:rFonts w:ascii="Times New Roman" w:hAnsi="Times New Roman" w:cs="Times New Roman"/>
          <w:sz w:val="22"/>
          <w:szCs w:val="22"/>
        </w:rPr>
        <w:t xml:space="preserve">quanto prima </w:t>
      </w:r>
      <w:r w:rsidRPr="00447ADB">
        <w:rPr>
          <w:rFonts w:ascii="Times New Roman" w:hAnsi="Times New Roman" w:cs="Times New Roman"/>
          <w:sz w:val="22"/>
          <w:szCs w:val="22"/>
        </w:rPr>
        <w:t xml:space="preserve">al Consiglio comunale una proposta di deliberazione che dia attuazione ed esecuzione al nuovo assetto normativo tale e quale risulta dalle sentenze della Corte Costituzionale n. 247/2017 e n. 101/2018, come descritte in premesse, aventi efficacia vincolante erga </w:t>
      </w:r>
      <w:proofErr w:type="spellStart"/>
      <w:r w:rsidRPr="00447ADB">
        <w:rPr>
          <w:rFonts w:ascii="Times New Roman" w:hAnsi="Times New Roman" w:cs="Times New Roman"/>
          <w:sz w:val="22"/>
          <w:szCs w:val="22"/>
        </w:rPr>
        <w:t>omnes</w:t>
      </w:r>
      <w:proofErr w:type="spellEnd"/>
      <w:r w:rsidRPr="00447ADB">
        <w:rPr>
          <w:rFonts w:ascii="Times New Roman" w:hAnsi="Times New Roman" w:cs="Times New Roman"/>
          <w:sz w:val="22"/>
          <w:szCs w:val="22"/>
        </w:rPr>
        <w:t>, applicando al bilancio l’avanzo di amministrazione al 31/12/2017</w:t>
      </w:r>
      <w:r w:rsidR="00612C28">
        <w:rPr>
          <w:rFonts w:ascii="Times New Roman" w:hAnsi="Times New Roman" w:cs="Times New Roman"/>
          <w:sz w:val="22"/>
          <w:szCs w:val="22"/>
        </w:rPr>
        <w:t xml:space="preserve">, già </w:t>
      </w:r>
      <w:r w:rsidRPr="00447ADB">
        <w:rPr>
          <w:rFonts w:ascii="Times New Roman" w:hAnsi="Times New Roman" w:cs="Times New Roman"/>
          <w:sz w:val="22"/>
          <w:szCs w:val="22"/>
        </w:rPr>
        <w:t xml:space="preserve"> accertato in sede di approvazione del rendiconto, consentendo </w:t>
      </w:r>
      <w:r w:rsidR="00612C28">
        <w:rPr>
          <w:rFonts w:ascii="Times New Roman" w:hAnsi="Times New Roman" w:cs="Times New Roman"/>
          <w:sz w:val="22"/>
          <w:szCs w:val="22"/>
        </w:rPr>
        <w:t xml:space="preserve">il sollecito </w:t>
      </w:r>
      <w:r w:rsidRPr="00447ADB">
        <w:rPr>
          <w:rFonts w:ascii="Times New Roman" w:hAnsi="Times New Roman" w:cs="Times New Roman"/>
          <w:sz w:val="22"/>
          <w:szCs w:val="22"/>
        </w:rPr>
        <w:t xml:space="preserve">utilizzo di tali risorse a beneficio della comunità realizzando le opere pubbliche necessarie ed urgenti </w:t>
      </w:r>
      <w:r w:rsidR="00612C28">
        <w:rPr>
          <w:rFonts w:ascii="Times New Roman" w:hAnsi="Times New Roman" w:cs="Times New Roman"/>
          <w:sz w:val="22"/>
          <w:szCs w:val="22"/>
        </w:rPr>
        <w:t>al Capoluogo</w:t>
      </w:r>
      <w:r w:rsidRPr="00447ADB">
        <w:rPr>
          <w:rFonts w:ascii="Times New Roman" w:hAnsi="Times New Roman" w:cs="Times New Roman"/>
          <w:sz w:val="22"/>
          <w:szCs w:val="22"/>
        </w:rPr>
        <w:t xml:space="preserve"> e alle sue frazioni.</w:t>
      </w:r>
      <w:bookmarkStart w:id="0" w:name="_GoBack"/>
      <w:bookmarkEnd w:id="0"/>
    </w:p>
    <w:p w:rsidR="00447ADB" w:rsidRDefault="00447ADB" w:rsidP="00447ADB">
      <w:pPr>
        <w:jc w:val="both"/>
        <w:rPr>
          <w:rFonts w:ascii="Times New Roman" w:hAnsi="Times New Roman" w:cs="Times New Roman"/>
          <w:sz w:val="22"/>
          <w:szCs w:val="22"/>
        </w:rPr>
      </w:pPr>
    </w:p>
    <w:p w:rsidR="00612C28" w:rsidRPr="00447ADB" w:rsidRDefault="00612C28" w:rsidP="00447ADB">
      <w:pPr>
        <w:jc w:val="both"/>
        <w:rPr>
          <w:rFonts w:ascii="Times New Roman" w:hAnsi="Times New Roman" w:cs="Times New Roman"/>
          <w:sz w:val="22"/>
          <w:szCs w:val="22"/>
        </w:rPr>
      </w:pPr>
    </w:p>
    <w:p w:rsidR="00447ADB" w:rsidRPr="00447ADB" w:rsidRDefault="00447ADB" w:rsidP="00447ADB">
      <w:pPr>
        <w:jc w:val="both"/>
        <w:rPr>
          <w:rFonts w:ascii="Times New Roman" w:hAnsi="Times New Roman" w:cs="Times New Roman"/>
          <w:sz w:val="22"/>
          <w:szCs w:val="22"/>
        </w:rPr>
      </w:pPr>
    </w:p>
    <w:p w:rsidR="00447ADB" w:rsidRPr="00447ADB" w:rsidRDefault="00612C28" w:rsidP="00612C28">
      <w:pPr>
        <w:jc w:val="center"/>
        <w:rPr>
          <w:rFonts w:ascii="Times New Roman" w:hAnsi="Times New Roman" w:cs="Times New Roman"/>
          <w:sz w:val="22"/>
          <w:szCs w:val="22"/>
        </w:rPr>
      </w:pPr>
      <w:r>
        <w:rPr>
          <w:rFonts w:ascii="Times New Roman" w:hAnsi="Times New Roman" w:cs="Times New Roman"/>
          <w:sz w:val="22"/>
          <w:szCs w:val="22"/>
        </w:rPr>
        <w:t xml:space="preserve">                                                                                   </w:t>
      </w:r>
      <w:r w:rsidR="00447ADB" w:rsidRPr="00447ADB">
        <w:rPr>
          <w:rFonts w:ascii="Times New Roman" w:hAnsi="Times New Roman" w:cs="Times New Roman"/>
          <w:sz w:val="22"/>
          <w:szCs w:val="22"/>
        </w:rPr>
        <w:t>IL GRUPPO CONSILIARE</w:t>
      </w:r>
    </w:p>
    <w:p w:rsidR="00770405" w:rsidRDefault="00770405"/>
    <w:sectPr w:rsidR="00770405" w:rsidSect="0077040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DB"/>
    <w:rsid w:val="00447ADB"/>
    <w:rsid w:val="00575FEB"/>
    <w:rsid w:val="00612C28"/>
    <w:rsid w:val="0077040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3113781-B505-4814-A622-BFCF4856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4884</Words>
  <Characters>27845</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prova Non</dc:creator>
  <cp:keywords/>
  <dc:description/>
  <cp:lastModifiedBy>simonetta.rubinato</cp:lastModifiedBy>
  <cp:revision>2</cp:revision>
  <cp:lastPrinted>2018-09-20T12:29:00Z</cp:lastPrinted>
  <dcterms:created xsi:type="dcterms:W3CDTF">2018-09-25T14:51:00Z</dcterms:created>
  <dcterms:modified xsi:type="dcterms:W3CDTF">2018-09-25T14:51:00Z</dcterms:modified>
</cp:coreProperties>
</file>